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华文中宋" w:hAnsi="华文中宋" w:eastAsia="华文中宋"/>
          <w:b/>
          <w:kern w:val="0"/>
          <w:sz w:val="52"/>
          <w:lang w:val="en-GB"/>
        </w:rPr>
      </w:pPr>
      <w:bookmarkStart w:id="0" w:name="sn_BD20190119180044"/>
      <w:bookmarkEnd w:id="0"/>
    </w:p>
    <w:p>
      <w:pPr>
        <w:jc w:val="center"/>
        <w:textAlignment w:val="baseline"/>
        <w:rPr>
          <w:rFonts w:ascii="华文中宋" w:hAnsi="华文中宋" w:eastAsia="华文中宋"/>
          <w:b/>
          <w:kern w:val="0"/>
          <w:sz w:val="52"/>
          <w:lang w:val="en-GB"/>
        </w:rPr>
      </w:pPr>
    </w:p>
    <w:p>
      <w:pPr>
        <w:jc w:val="center"/>
        <w:textAlignment w:val="baseline"/>
        <w:rPr>
          <w:rFonts w:ascii="华文中宋" w:hAnsi="华文中宋" w:eastAsia="华文中宋"/>
          <w:b/>
          <w:kern w:val="0"/>
          <w:sz w:val="52"/>
          <w:lang w:val="en-GB"/>
        </w:rPr>
      </w:pPr>
    </w:p>
    <w:p>
      <w:pPr>
        <w:jc w:val="center"/>
        <w:rPr>
          <w:rFonts w:hint="default" w:ascii="华文中宋" w:hAnsi="华文中宋" w:eastAsia="华文中宋"/>
          <w:b/>
          <w:spacing w:val="40"/>
          <w:kern w:val="28"/>
          <w:sz w:val="48"/>
          <w:szCs w:val="48"/>
          <w:lang w:val="en-US" w:eastAsia="zh-CN"/>
        </w:rPr>
      </w:pPr>
      <w:r>
        <w:rPr>
          <w:rFonts w:hint="eastAsia" w:ascii="华文中宋" w:hAnsi="华文中宋" w:eastAsia="华文中宋"/>
          <w:b/>
          <w:spacing w:val="40"/>
          <w:kern w:val="28"/>
          <w:sz w:val="48"/>
          <w:szCs w:val="48"/>
        </w:rPr>
        <w:t>XXX</w:t>
      </w:r>
      <w:r>
        <w:rPr>
          <w:rFonts w:hint="eastAsia" w:ascii="华文中宋" w:hAnsi="华文中宋" w:eastAsia="华文中宋"/>
          <w:b/>
          <w:spacing w:val="40"/>
          <w:kern w:val="28"/>
          <w:sz w:val="48"/>
          <w:szCs w:val="48"/>
          <w:lang w:val="en-US" w:eastAsia="zh-CN"/>
        </w:rPr>
        <w:t>虚拟电厂运营商</w:t>
      </w:r>
    </w:p>
    <w:p>
      <w:pPr>
        <w:ind w:left="-525" w:leftChars="-250" w:right="-525" w:rightChars="-250"/>
        <w:jc w:val="center"/>
        <w:rPr>
          <w:rFonts w:ascii="华文中宋" w:hAnsi="华文中宋" w:eastAsia="华文中宋"/>
          <w:spacing w:val="40"/>
          <w:kern w:val="28"/>
          <w:sz w:val="48"/>
          <w:szCs w:val="48"/>
        </w:rPr>
      </w:pPr>
      <w:r>
        <w:rPr>
          <w:rFonts w:hint="eastAsia" w:ascii="华文中宋" w:hAnsi="华文中宋" w:eastAsia="华文中宋"/>
          <w:b/>
          <w:spacing w:val="40"/>
          <w:kern w:val="28"/>
          <w:sz w:val="48"/>
          <w:szCs w:val="48"/>
        </w:rPr>
        <w:t>参与深圳市虚拟电厂精准响应承诺书</w:t>
      </w:r>
    </w:p>
    <w:p>
      <w:pPr>
        <w:spacing w:line="480" w:lineRule="exact"/>
        <w:jc w:val="center"/>
        <w:rPr>
          <w:rFonts w:ascii="黑体" w:hAnsi="Times New Roman" w:eastAsia="黑体"/>
          <w:spacing w:val="40"/>
          <w:kern w:val="28"/>
          <w:sz w:val="44"/>
        </w:rPr>
      </w:pPr>
    </w:p>
    <w:p>
      <w:pPr>
        <w:spacing w:line="480" w:lineRule="exact"/>
        <w:jc w:val="center"/>
        <w:rPr>
          <w:rFonts w:ascii="华文中宋" w:hAnsi="华文中宋" w:eastAsia="华文中宋"/>
          <w:b/>
          <w:kern w:val="0"/>
          <w:sz w:val="52"/>
          <w:lang w:val="en-GB"/>
        </w:rPr>
      </w:pPr>
    </w:p>
    <w:p>
      <w:pPr>
        <w:spacing w:line="480" w:lineRule="exact"/>
        <w:ind w:firstLine="1041" w:firstLineChars="200"/>
        <w:rPr>
          <w:rFonts w:ascii="华文中宋" w:hAnsi="华文中宋" w:eastAsia="华文中宋"/>
          <w:b/>
          <w:kern w:val="0"/>
          <w:sz w:val="32"/>
        </w:rPr>
      </w:pPr>
      <w:r>
        <w:rPr>
          <w:rFonts w:ascii="华文中宋" w:hAnsi="华文中宋" w:eastAsia="华文中宋"/>
          <w:b/>
          <w:kern w:val="0"/>
          <w:sz w:val="52"/>
          <w:lang w:val="en-GB"/>
        </w:rPr>
        <w:br w:type="textWrapping"/>
      </w:r>
    </w:p>
    <w:p>
      <w:pPr>
        <w:spacing w:line="480" w:lineRule="exact"/>
        <w:ind w:firstLine="641" w:firstLineChars="200"/>
        <w:rPr>
          <w:rFonts w:ascii="华文中宋" w:hAnsi="华文中宋" w:eastAsia="华文中宋"/>
          <w:b/>
          <w:kern w:val="0"/>
          <w:sz w:val="32"/>
        </w:rPr>
      </w:pPr>
    </w:p>
    <w:p>
      <w:pPr>
        <w:spacing w:line="480" w:lineRule="exact"/>
        <w:rPr>
          <w:rFonts w:ascii="华文中宋" w:hAnsi="华文中宋" w:eastAsia="华文中宋"/>
          <w:b/>
          <w:kern w:val="0"/>
          <w:sz w:val="32"/>
        </w:rPr>
      </w:pPr>
    </w:p>
    <w:p>
      <w:pPr>
        <w:spacing w:line="360" w:lineRule="auto"/>
        <w:ind w:firstLine="641" w:firstLineChars="200"/>
        <w:rPr>
          <w:rFonts w:ascii="华文中宋" w:hAnsi="华文中宋" w:eastAsia="华文中宋"/>
          <w:b/>
          <w:kern w:val="0"/>
          <w:sz w:val="32"/>
        </w:rPr>
      </w:pPr>
    </w:p>
    <w:p>
      <w:pPr>
        <w:spacing w:line="360" w:lineRule="auto"/>
        <w:rPr>
          <w:kern w:val="28"/>
        </w:rPr>
      </w:pPr>
    </w:p>
    <w:p>
      <w:pPr>
        <w:spacing w:line="480" w:lineRule="exact"/>
        <w:jc w:val="center"/>
        <w:rPr>
          <w:rFonts w:ascii="仿宋" w:hAnsi="仿宋" w:eastAsia="仿宋"/>
          <w:sz w:val="28"/>
        </w:rPr>
      </w:pPr>
    </w:p>
    <w:p>
      <w:pPr>
        <w:spacing w:line="480" w:lineRule="exact"/>
        <w:jc w:val="center"/>
        <w:rPr>
          <w:rFonts w:ascii="仿宋" w:hAnsi="仿宋" w:eastAsia="仿宋"/>
          <w:sz w:val="28"/>
        </w:rPr>
        <w:sectPr>
          <w:headerReference r:id="rId3" w:type="default"/>
          <w:pgSz w:w="11906" w:h="16838"/>
          <w:pgMar w:top="1440" w:right="1797" w:bottom="1440" w:left="1797" w:header="851" w:footer="992" w:gutter="0"/>
          <w:cols w:space="720" w:num="1"/>
          <w:docGrid w:type="lines" w:linePitch="312" w:charSpace="0"/>
        </w:sectPr>
      </w:pPr>
    </w:p>
    <w:p>
      <w:pPr>
        <w:pStyle w:val="17"/>
        <w:spacing w:line="360" w:lineRule="auto"/>
        <w:jc w:val="center"/>
        <w:rPr>
          <w:rFonts w:ascii="华文中宋" w:hAnsi="华文中宋" w:eastAsia="华文中宋"/>
          <w:b/>
          <w:sz w:val="40"/>
          <w:szCs w:val="22"/>
        </w:rPr>
      </w:pPr>
      <w:r>
        <w:rPr>
          <w:rFonts w:hint="eastAsia" w:ascii="华文中宋" w:hAnsi="华文中宋" w:eastAsia="华文中宋"/>
          <w:b/>
          <w:sz w:val="40"/>
          <w:szCs w:val="22"/>
        </w:rPr>
        <w:t>目  录</w:t>
      </w:r>
    </w:p>
    <w:p>
      <w:pPr>
        <w:pStyle w:val="22"/>
        <w:tabs>
          <w:tab w:val="right" w:leader="dot" w:pos="8306"/>
          <w:tab w:val="clear" w:pos="8296"/>
        </w:tabs>
        <w:rPr>
          <w:rFonts w:hint="eastAsia" w:ascii="宋体" w:hAnsi="宋体" w:cs="宋体"/>
          <w:sz w:val="30"/>
          <w:szCs w:val="30"/>
        </w:rPr>
      </w:pPr>
      <w:r>
        <w:rPr>
          <w:rStyle w:val="30"/>
          <w:rFonts w:hint="eastAsia" w:ascii="宋体" w:hAnsi="宋体" w:cs="宋体"/>
          <w:color w:val="auto"/>
          <w:sz w:val="30"/>
          <w:szCs w:val="30"/>
        </w:rPr>
        <w:fldChar w:fldCharType="begin"/>
      </w:r>
      <w:r>
        <w:rPr>
          <w:rStyle w:val="30"/>
          <w:rFonts w:hint="eastAsia" w:ascii="宋体" w:hAnsi="宋体" w:eastAsia="宋体" w:cs="宋体"/>
          <w:color w:val="auto"/>
          <w:sz w:val="30"/>
          <w:szCs w:val="30"/>
        </w:rPr>
        <w:instrText xml:space="preserve">TOC \o "1-1" \h \u </w:instrText>
      </w:r>
      <w:r>
        <w:rPr>
          <w:rStyle w:val="30"/>
          <w:rFonts w:hint="eastAsia" w:ascii="宋体" w:hAnsi="宋体" w:cs="宋体"/>
          <w:color w:val="auto"/>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_Toc5308 </w:instrText>
      </w:r>
      <w:r>
        <w:rPr>
          <w:rFonts w:hint="eastAsia" w:ascii="宋体" w:hAnsi="宋体" w:eastAsia="宋体" w:cs="宋体"/>
          <w:sz w:val="30"/>
          <w:szCs w:val="30"/>
        </w:rPr>
        <w:fldChar w:fldCharType="separate"/>
      </w:r>
      <w:r>
        <w:rPr>
          <w:rFonts w:hint="eastAsia" w:ascii="宋体" w:hAnsi="宋体" w:cs="宋体"/>
          <w:sz w:val="30"/>
          <w:szCs w:val="30"/>
        </w:rPr>
        <w:t>1. 定义与解释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_Toc5308 \h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_Toc4397 </w:instrText>
      </w:r>
      <w:r>
        <w:rPr>
          <w:rFonts w:hint="eastAsia" w:ascii="宋体" w:hAnsi="宋体" w:eastAsia="宋体" w:cs="宋体"/>
          <w:sz w:val="30"/>
          <w:szCs w:val="30"/>
        </w:rPr>
        <w:fldChar w:fldCharType="separate"/>
      </w:r>
      <w:r>
        <w:rPr>
          <w:rFonts w:hint="eastAsia" w:ascii="宋体" w:hAnsi="宋体" w:cs="宋体"/>
          <w:sz w:val="30"/>
          <w:szCs w:val="30"/>
        </w:rPr>
        <w:t>2. 企业陈述</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_Toc4397 \h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_Toc31368 </w:instrText>
      </w:r>
      <w:r>
        <w:rPr>
          <w:rFonts w:hint="eastAsia" w:ascii="宋体" w:hAnsi="宋体" w:eastAsia="宋体" w:cs="宋体"/>
          <w:sz w:val="30"/>
          <w:szCs w:val="30"/>
        </w:rPr>
        <w:fldChar w:fldCharType="separate"/>
      </w:r>
      <w:r>
        <w:rPr>
          <w:rFonts w:hint="eastAsia" w:ascii="宋体" w:hAnsi="宋体" w:cs="宋体"/>
          <w:sz w:val="30"/>
          <w:szCs w:val="30"/>
        </w:rPr>
        <w:t xml:space="preserve">3. </w:t>
      </w:r>
      <w:r>
        <w:rPr>
          <w:rFonts w:hint="eastAsia" w:ascii="宋体" w:hAnsi="宋体" w:eastAsia="宋体" w:cs="宋体"/>
          <w:sz w:val="30"/>
          <w:szCs w:val="30"/>
        </w:rPr>
        <w:t>虚拟电厂运营商</w:t>
      </w:r>
      <w:r>
        <w:rPr>
          <w:rFonts w:hint="eastAsia" w:ascii="宋体" w:hAnsi="宋体" w:cs="宋体"/>
          <w:sz w:val="30"/>
          <w:szCs w:val="30"/>
        </w:rPr>
        <w:t>义务</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_Toc31368 \h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_Toc22492 </w:instrText>
      </w:r>
      <w:r>
        <w:rPr>
          <w:rFonts w:hint="eastAsia" w:ascii="宋体" w:hAnsi="宋体" w:eastAsia="宋体" w:cs="宋体"/>
          <w:sz w:val="30"/>
          <w:szCs w:val="30"/>
        </w:rPr>
        <w:fldChar w:fldCharType="separate"/>
      </w:r>
      <w:r>
        <w:rPr>
          <w:rFonts w:hint="eastAsia" w:ascii="宋体" w:hAnsi="宋体" w:cs="宋体"/>
          <w:sz w:val="30"/>
          <w:szCs w:val="30"/>
        </w:rPr>
        <w:t>4. 接入条件</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_Toc22492 \h </w:instrText>
      </w:r>
      <w:r>
        <w:rPr>
          <w:rFonts w:hint="eastAsia" w:ascii="宋体" w:hAnsi="宋体" w:cs="宋体"/>
          <w:sz w:val="30"/>
          <w:szCs w:val="30"/>
        </w:rPr>
        <w:fldChar w:fldCharType="separate"/>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_Toc4964 </w:instrText>
      </w:r>
      <w:r>
        <w:rPr>
          <w:rFonts w:hint="eastAsia" w:ascii="宋体" w:hAnsi="宋体" w:eastAsia="宋体" w:cs="宋体"/>
          <w:sz w:val="30"/>
          <w:szCs w:val="30"/>
        </w:rPr>
        <w:fldChar w:fldCharType="separate"/>
      </w:r>
      <w:r>
        <w:rPr>
          <w:rFonts w:hint="eastAsia" w:ascii="宋体" w:hAnsi="宋体" w:cs="宋体"/>
          <w:sz w:val="30"/>
          <w:szCs w:val="30"/>
        </w:rPr>
        <w:t>5. 接入管理</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_Toc4964 \h </w:instrText>
      </w:r>
      <w:r>
        <w:rPr>
          <w:rFonts w:hint="eastAsia" w:ascii="宋体" w:hAnsi="宋体" w:cs="宋体"/>
          <w:sz w:val="30"/>
          <w:szCs w:val="30"/>
        </w:rPr>
        <w:fldChar w:fldCharType="separate"/>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_Toc18225 </w:instrText>
      </w:r>
      <w:r>
        <w:rPr>
          <w:rFonts w:hint="eastAsia" w:ascii="宋体" w:hAnsi="宋体" w:eastAsia="宋体" w:cs="宋体"/>
          <w:sz w:val="30"/>
          <w:szCs w:val="30"/>
        </w:rPr>
        <w:fldChar w:fldCharType="separate"/>
      </w:r>
      <w:r>
        <w:rPr>
          <w:rFonts w:hint="eastAsia" w:ascii="宋体" w:hAnsi="宋体" w:cs="宋体"/>
          <w:sz w:val="30"/>
          <w:szCs w:val="30"/>
        </w:rPr>
        <w:t>6. 运行</w:t>
      </w:r>
      <w:r>
        <w:rPr>
          <w:rFonts w:hint="eastAsia" w:ascii="宋体" w:hAnsi="宋体" w:cs="宋体"/>
          <w:sz w:val="30"/>
          <w:szCs w:val="30"/>
          <w:lang w:val="en-US" w:eastAsia="zh-CN"/>
        </w:rPr>
        <w:t>管理</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_Toc18225 \h </w:instrText>
      </w:r>
      <w:r>
        <w:rPr>
          <w:rFonts w:hint="eastAsia" w:ascii="宋体" w:hAnsi="宋体" w:cs="宋体"/>
          <w:sz w:val="30"/>
          <w:szCs w:val="30"/>
        </w:rPr>
        <w:fldChar w:fldCharType="separate"/>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_Toc5579 </w:instrText>
      </w:r>
      <w:r>
        <w:rPr>
          <w:rFonts w:hint="eastAsia" w:ascii="宋体" w:hAnsi="宋体" w:eastAsia="宋体" w:cs="宋体"/>
          <w:sz w:val="30"/>
          <w:szCs w:val="30"/>
        </w:rPr>
        <w:fldChar w:fldCharType="separate"/>
      </w:r>
      <w:r>
        <w:rPr>
          <w:rFonts w:hint="eastAsia" w:ascii="宋体" w:hAnsi="宋体" w:cs="宋体"/>
          <w:sz w:val="30"/>
          <w:szCs w:val="30"/>
        </w:rPr>
        <w:t>7. 调节性能测试</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_Toc5579 \h </w:instrText>
      </w:r>
      <w:r>
        <w:rPr>
          <w:rFonts w:hint="eastAsia" w:ascii="宋体" w:hAnsi="宋体" w:cs="宋体"/>
          <w:sz w:val="30"/>
          <w:szCs w:val="30"/>
        </w:rPr>
        <w:fldChar w:fldCharType="separate"/>
      </w:r>
      <w:r>
        <w:rPr>
          <w:rFonts w:hint="eastAsia" w:ascii="宋体" w:hAnsi="宋体" w:cs="宋体"/>
          <w:sz w:val="30"/>
          <w:szCs w:val="30"/>
        </w:rPr>
        <w:t>5</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_Toc21614 </w:instrText>
      </w:r>
      <w:r>
        <w:rPr>
          <w:rFonts w:hint="eastAsia" w:ascii="宋体" w:hAnsi="宋体" w:eastAsia="宋体" w:cs="宋体"/>
          <w:sz w:val="30"/>
          <w:szCs w:val="30"/>
        </w:rPr>
        <w:fldChar w:fldCharType="separate"/>
      </w:r>
      <w:r>
        <w:rPr>
          <w:rFonts w:hint="eastAsia" w:ascii="宋体" w:hAnsi="宋体" w:cs="宋体"/>
          <w:sz w:val="30"/>
          <w:szCs w:val="30"/>
        </w:rPr>
        <w:t>8. 自动化</w:t>
      </w:r>
      <w:r>
        <w:rPr>
          <w:rFonts w:hint="eastAsia" w:ascii="宋体" w:hAnsi="宋体" w:cs="宋体"/>
          <w:sz w:val="30"/>
          <w:szCs w:val="30"/>
          <w:lang w:val="en-US" w:eastAsia="zh-CN"/>
        </w:rPr>
        <w:t>管理</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_Toc21614 \h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_Toc8159 </w:instrText>
      </w:r>
      <w:r>
        <w:rPr>
          <w:rFonts w:hint="eastAsia" w:ascii="宋体" w:hAnsi="宋体" w:eastAsia="宋体" w:cs="宋体"/>
          <w:sz w:val="30"/>
          <w:szCs w:val="30"/>
        </w:rPr>
        <w:fldChar w:fldCharType="separate"/>
      </w:r>
      <w:r>
        <w:rPr>
          <w:rFonts w:hint="eastAsia" w:ascii="宋体" w:hAnsi="宋体" w:cs="宋体"/>
          <w:sz w:val="30"/>
          <w:szCs w:val="30"/>
        </w:rPr>
        <w:t>9. 通信</w:t>
      </w:r>
      <w:r>
        <w:rPr>
          <w:rFonts w:hint="eastAsia" w:ascii="宋体" w:hAnsi="宋体" w:cs="宋体"/>
          <w:sz w:val="30"/>
          <w:szCs w:val="30"/>
          <w:lang w:val="en-US" w:eastAsia="zh-CN"/>
        </w:rPr>
        <w:t>管理</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_Toc8159 \h </w:instrText>
      </w:r>
      <w:r>
        <w:rPr>
          <w:rFonts w:hint="eastAsia" w:ascii="宋体" w:hAnsi="宋体" w:cs="宋体"/>
          <w:sz w:val="30"/>
          <w:szCs w:val="30"/>
        </w:rPr>
        <w:fldChar w:fldCharType="separate"/>
      </w:r>
      <w:r>
        <w:rPr>
          <w:rFonts w:hint="eastAsia" w:ascii="宋体" w:hAnsi="宋体" w:cs="宋体"/>
          <w:sz w:val="30"/>
          <w:szCs w:val="30"/>
        </w:rPr>
        <w:t>7</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_Toc21358 </w:instrText>
      </w:r>
      <w:r>
        <w:rPr>
          <w:rFonts w:hint="eastAsia" w:ascii="宋体" w:hAnsi="宋体" w:eastAsia="宋体" w:cs="宋体"/>
          <w:sz w:val="30"/>
          <w:szCs w:val="30"/>
        </w:rPr>
        <w:fldChar w:fldCharType="separate"/>
      </w:r>
      <w:r>
        <w:rPr>
          <w:rFonts w:hint="eastAsia" w:ascii="宋体" w:hAnsi="宋体" w:cs="宋体"/>
          <w:sz w:val="30"/>
          <w:szCs w:val="30"/>
        </w:rPr>
        <w:t>10. 网络安全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_Toc21358 \h </w:instrText>
      </w:r>
      <w:r>
        <w:rPr>
          <w:rFonts w:hint="eastAsia" w:ascii="宋体" w:hAnsi="宋体" w:cs="宋体"/>
          <w:sz w:val="30"/>
          <w:szCs w:val="30"/>
        </w:rPr>
        <w:fldChar w:fldCharType="separate"/>
      </w:r>
      <w:r>
        <w:rPr>
          <w:rFonts w:hint="eastAsia" w:ascii="宋体" w:hAnsi="宋体" w:cs="宋体"/>
          <w:sz w:val="30"/>
          <w:szCs w:val="30"/>
        </w:rPr>
        <w:t>8</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_Toc13132 </w:instrText>
      </w:r>
      <w:r>
        <w:rPr>
          <w:rFonts w:hint="eastAsia" w:ascii="宋体" w:hAnsi="宋体" w:eastAsia="宋体" w:cs="宋体"/>
          <w:sz w:val="30"/>
          <w:szCs w:val="30"/>
        </w:rPr>
        <w:fldChar w:fldCharType="separate"/>
      </w:r>
      <w:r>
        <w:rPr>
          <w:rFonts w:hint="eastAsia" w:ascii="宋体" w:hAnsi="宋体" w:cs="宋体"/>
          <w:sz w:val="30"/>
          <w:szCs w:val="30"/>
        </w:rPr>
        <w:t>11. 不可抗力</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_Toc13132 \h </w:instrText>
      </w:r>
      <w:r>
        <w:rPr>
          <w:rFonts w:hint="eastAsia" w:ascii="宋体" w:hAnsi="宋体" w:cs="宋体"/>
          <w:sz w:val="30"/>
          <w:szCs w:val="30"/>
        </w:rPr>
        <w:fldChar w:fldCharType="separate"/>
      </w:r>
      <w:r>
        <w:rPr>
          <w:rFonts w:hint="eastAsia" w:ascii="宋体" w:hAnsi="宋体" w:cs="宋体"/>
          <w:sz w:val="30"/>
          <w:szCs w:val="30"/>
        </w:rPr>
        <w:t>9</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_Toc12160 </w:instrText>
      </w:r>
      <w:r>
        <w:rPr>
          <w:rFonts w:hint="eastAsia" w:ascii="宋体" w:hAnsi="宋体" w:eastAsia="宋体" w:cs="宋体"/>
          <w:sz w:val="30"/>
          <w:szCs w:val="30"/>
        </w:rPr>
        <w:fldChar w:fldCharType="separate"/>
      </w:r>
      <w:r>
        <w:rPr>
          <w:rFonts w:hint="eastAsia" w:ascii="宋体" w:hAnsi="宋体" w:cs="宋体"/>
          <w:sz w:val="30"/>
          <w:szCs w:val="30"/>
        </w:rPr>
        <w:t>12. 违约责任</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_Toc12160 \h </w:instrText>
      </w:r>
      <w:r>
        <w:rPr>
          <w:rFonts w:hint="eastAsia" w:ascii="宋体" w:hAnsi="宋体" w:cs="宋体"/>
          <w:sz w:val="30"/>
          <w:szCs w:val="30"/>
        </w:rPr>
        <w:fldChar w:fldCharType="separate"/>
      </w:r>
      <w:r>
        <w:rPr>
          <w:rFonts w:hint="eastAsia" w:ascii="宋体" w:hAnsi="宋体" w:cs="宋体"/>
          <w:sz w:val="30"/>
          <w:szCs w:val="30"/>
        </w:rPr>
        <w:t>9</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_Toc1329 </w:instrText>
      </w:r>
      <w:r>
        <w:rPr>
          <w:rFonts w:hint="eastAsia" w:ascii="宋体" w:hAnsi="宋体" w:eastAsia="宋体" w:cs="宋体"/>
          <w:sz w:val="30"/>
          <w:szCs w:val="30"/>
        </w:rPr>
        <w:fldChar w:fldCharType="separate"/>
      </w:r>
      <w:r>
        <w:rPr>
          <w:rFonts w:hint="eastAsia" w:ascii="宋体" w:hAnsi="宋体" w:cs="宋体"/>
          <w:sz w:val="30"/>
          <w:szCs w:val="30"/>
        </w:rPr>
        <w:t>13. 承诺书生效和期限</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_Toc1329 \h </w:instrText>
      </w:r>
      <w:r>
        <w:rPr>
          <w:rFonts w:hint="eastAsia" w:ascii="宋体" w:hAnsi="宋体" w:cs="宋体"/>
          <w:sz w:val="30"/>
          <w:szCs w:val="30"/>
        </w:rPr>
        <w:fldChar w:fldCharType="separate"/>
      </w:r>
      <w:r>
        <w:rPr>
          <w:rFonts w:hint="eastAsia" w:ascii="宋体" w:hAnsi="宋体" w:cs="宋体"/>
          <w:sz w:val="30"/>
          <w:szCs w:val="30"/>
        </w:rPr>
        <w:t>10</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_Toc3110 </w:instrText>
      </w:r>
      <w:r>
        <w:rPr>
          <w:rFonts w:hint="eastAsia" w:ascii="宋体" w:hAnsi="宋体" w:eastAsia="宋体" w:cs="宋体"/>
          <w:sz w:val="30"/>
          <w:szCs w:val="30"/>
        </w:rPr>
        <w:fldChar w:fldCharType="separate"/>
      </w:r>
      <w:r>
        <w:rPr>
          <w:rFonts w:hint="eastAsia" w:ascii="宋体" w:hAnsi="宋体" w:cs="宋体"/>
          <w:sz w:val="30"/>
          <w:szCs w:val="30"/>
        </w:rPr>
        <w:t>14. 承诺书变更、转让和终止</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_Toc3110 \h </w:instrText>
      </w:r>
      <w:r>
        <w:rPr>
          <w:rFonts w:hint="eastAsia" w:ascii="宋体" w:hAnsi="宋体" w:cs="宋体"/>
          <w:sz w:val="30"/>
          <w:szCs w:val="30"/>
        </w:rPr>
        <w:fldChar w:fldCharType="separate"/>
      </w:r>
      <w:r>
        <w:rPr>
          <w:rFonts w:hint="eastAsia" w:ascii="宋体" w:hAnsi="宋体" w:cs="宋体"/>
          <w:sz w:val="30"/>
          <w:szCs w:val="30"/>
        </w:rPr>
        <w:t>10</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_Toc27229 </w:instrText>
      </w:r>
      <w:r>
        <w:rPr>
          <w:rFonts w:hint="eastAsia" w:ascii="宋体" w:hAnsi="宋体" w:eastAsia="宋体" w:cs="宋体"/>
          <w:sz w:val="30"/>
          <w:szCs w:val="30"/>
        </w:rPr>
        <w:fldChar w:fldCharType="separate"/>
      </w:r>
      <w:r>
        <w:rPr>
          <w:rFonts w:hint="eastAsia" w:ascii="宋体" w:hAnsi="宋体" w:cs="宋体"/>
          <w:sz w:val="30"/>
          <w:szCs w:val="30"/>
        </w:rPr>
        <w:t>15. 适用法律</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_Toc27229 \h </w:instrText>
      </w:r>
      <w:r>
        <w:rPr>
          <w:rFonts w:hint="eastAsia" w:ascii="宋体" w:hAnsi="宋体" w:cs="宋体"/>
          <w:sz w:val="30"/>
          <w:szCs w:val="30"/>
        </w:rPr>
        <w:fldChar w:fldCharType="separate"/>
      </w:r>
      <w:r>
        <w:rPr>
          <w:rFonts w:hint="eastAsia" w:ascii="宋体" w:hAnsi="宋体" w:cs="宋体"/>
          <w:sz w:val="30"/>
          <w:szCs w:val="30"/>
        </w:rPr>
        <w:t>11</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tabs>
          <w:tab w:val="right" w:leader="dot" w:pos="8306"/>
          <w:tab w:val="clear" w:pos="8296"/>
        </w:tabs>
        <w:rPr>
          <w:rFonts w:hint="eastAsia" w:ascii="宋体" w:hAnsi="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_Toc5353 </w:instrText>
      </w:r>
      <w:r>
        <w:rPr>
          <w:rFonts w:hint="eastAsia" w:ascii="宋体" w:hAnsi="宋体" w:eastAsia="宋体" w:cs="宋体"/>
          <w:sz w:val="30"/>
          <w:szCs w:val="30"/>
        </w:rPr>
        <w:fldChar w:fldCharType="separate"/>
      </w:r>
      <w:r>
        <w:rPr>
          <w:rFonts w:hint="eastAsia" w:ascii="宋体" w:hAnsi="宋体" w:cs="宋体"/>
          <w:sz w:val="30"/>
          <w:szCs w:val="30"/>
        </w:rPr>
        <w:t>16. 其他</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_Toc5353 \h </w:instrText>
      </w:r>
      <w:r>
        <w:rPr>
          <w:rFonts w:hint="eastAsia" w:ascii="宋体" w:hAnsi="宋体" w:cs="宋体"/>
          <w:sz w:val="30"/>
          <w:szCs w:val="30"/>
        </w:rPr>
        <w:fldChar w:fldCharType="separate"/>
      </w:r>
      <w:r>
        <w:rPr>
          <w:rFonts w:hint="eastAsia" w:ascii="宋体" w:hAnsi="宋体" w:cs="宋体"/>
          <w:sz w:val="30"/>
          <w:szCs w:val="30"/>
        </w:rPr>
        <w:t>11</w:t>
      </w:r>
      <w:r>
        <w:rPr>
          <w:rFonts w:hint="eastAsia" w:ascii="宋体" w:hAnsi="宋体" w:cs="宋体"/>
          <w:sz w:val="30"/>
          <w:szCs w:val="30"/>
        </w:rPr>
        <w:fldChar w:fldCharType="end"/>
      </w:r>
      <w:r>
        <w:rPr>
          <w:rFonts w:hint="eastAsia" w:ascii="宋体" w:hAnsi="宋体" w:eastAsia="宋体" w:cs="宋体"/>
          <w:sz w:val="30"/>
          <w:szCs w:val="30"/>
        </w:rPr>
        <w:fldChar w:fldCharType="end"/>
      </w:r>
    </w:p>
    <w:p>
      <w:pPr>
        <w:pStyle w:val="22"/>
        <w:rPr>
          <w:rFonts w:ascii="仿宋" w:hAnsi="仿宋" w:eastAsia="仿宋" w:cs="仿宋"/>
          <w:szCs w:val="28"/>
        </w:rPr>
      </w:pPr>
      <w:r>
        <w:rPr>
          <w:rFonts w:hint="eastAsia" w:ascii="宋体" w:hAnsi="宋体" w:eastAsia="宋体" w:cs="宋体"/>
          <w:sz w:val="30"/>
          <w:szCs w:val="30"/>
        </w:rPr>
        <w:fldChar w:fldCharType="end"/>
      </w:r>
    </w:p>
    <w:p>
      <w:pPr>
        <w:pStyle w:val="2"/>
        <w:sectPr>
          <w:footerReference r:id="rId4" w:type="default"/>
          <w:pgSz w:w="11906" w:h="16838"/>
          <w:pgMar w:top="1440" w:right="1800" w:bottom="1440" w:left="1800" w:header="851" w:footer="992" w:gutter="0"/>
          <w:pgNumType w:start="1"/>
          <w:cols w:space="720" w:num="1"/>
          <w:docGrid w:type="lines" w:linePitch="312" w:charSpace="0"/>
        </w:sectPr>
      </w:pPr>
      <w: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w:t>
      </w:r>
      <w:r>
        <w:rPr>
          <w:rFonts w:hint="eastAsia" w:ascii="仿宋_GB2312" w:hAnsi="仿宋_GB2312" w:eastAsia="仿宋_GB2312" w:cs="仿宋_GB2312"/>
          <w:sz w:val="28"/>
          <w:szCs w:val="28"/>
          <w:u w:val="single"/>
          <w:lang w:val="en-US" w:eastAsia="zh-CN"/>
        </w:rPr>
        <w:t xml:space="preserve">    深圳虚拟电厂管理中心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r>
        <w:rPr>
          <w:rFonts w:hint="eastAsia" w:ascii="仿宋_GB2312" w:hAnsi="仿宋" w:eastAsia="仿宋_GB2312"/>
          <w:sz w:val="28"/>
          <w:szCs w:val="28"/>
          <w:lang w:val="en-US" w:eastAsia="zh-CN"/>
        </w:rPr>
        <w:t>社会信用代码:_____________,</w:t>
      </w:r>
      <w:r>
        <w:rPr>
          <w:rFonts w:hint="eastAsia" w:ascii="仿宋_GB2312" w:hAnsi="仿宋" w:eastAsia="仿宋_GB2312"/>
          <w:sz w:val="28"/>
          <w:szCs w:val="28"/>
        </w:rPr>
        <w:t>系一家具有法人资格的企业，法定代表人：</w:t>
      </w:r>
      <w:r>
        <w:rPr>
          <w:rFonts w:ascii="仿宋_GB2312" w:hAnsi="仿宋" w:eastAsia="仿宋_GB2312"/>
          <w:sz w:val="28"/>
          <w:szCs w:val="28"/>
          <w:u w:val="single"/>
        </w:rPr>
        <w:t xml:space="preserve">       </w:t>
      </w:r>
      <w:r>
        <w:rPr>
          <w:rFonts w:hint="eastAsia" w:ascii="仿宋_GB2312" w:hAnsi="仿宋_GB2312" w:eastAsia="仿宋_GB2312" w:cs="仿宋_GB2312"/>
          <w:sz w:val="28"/>
          <w:szCs w:val="28"/>
          <w:lang w:val="en-US" w:eastAsia="zh-CN"/>
        </w:rPr>
        <w:t>，拟作为</w:t>
      </w:r>
      <w:r>
        <w:rPr>
          <w:rFonts w:hint="eastAsia" w:ascii="仿宋_GB2312" w:hAnsi="仿宋_GB2312" w:eastAsia="仿宋_GB2312" w:cs="仿宋_GB2312"/>
          <w:sz w:val="28"/>
          <w:szCs w:val="28"/>
          <w:u w:val="single"/>
          <w:lang w:val="en-US" w:eastAsia="zh-CN"/>
        </w:rPr>
        <w:t>虚拟电厂运营商</w:t>
      </w:r>
      <w:r>
        <w:rPr>
          <w:rFonts w:hint="eastAsia" w:ascii="仿宋_GB2312" w:hAnsi="仿宋_GB2312" w:eastAsia="仿宋_GB2312" w:cs="仿宋_GB2312"/>
          <w:sz w:val="28"/>
          <w:szCs w:val="28"/>
          <w:lang w:val="en-US" w:eastAsia="zh-CN"/>
        </w:rPr>
        <w:t>参与</w:t>
      </w:r>
      <w:r>
        <w:rPr>
          <w:rFonts w:hint="eastAsia" w:ascii="仿宋_GB2312" w:hAnsi="仿宋_GB2312" w:eastAsia="仿宋_GB2312" w:cs="仿宋_GB2312"/>
          <w:sz w:val="28"/>
          <w:szCs w:val="28"/>
          <w:u w:val="single"/>
          <w:lang w:val="en-US" w:eastAsia="zh-CN"/>
        </w:rPr>
        <w:t>深圳市虚拟电厂精准响应</w:t>
      </w:r>
      <w:r>
        <w:rPr>
          <w:rFonts w:hint="eastAsia" w:ascii="仿宋_GB2312" w:hAnsi="仿宋_GB2312" w:eastAsia="仿宋_GB2312" w:cs="仿宋_GB2312"/>
          <w:sz w:val="28"/>
          <w:szCs w:val="28"/>
          <w:lang w:val="en-US" w:eastAsia="zh-CN"/>
        </w:rPr>
        <w:t>。为了积极配合贵中心规范化开展深圳市虚拟电厂精准响应，有效遏制不公平竞争和违规违纪行为的发生，确保</w:t>
      </w:r>
      <w:r>
        <w:rPr>
          <w:rFonts w:hint="eastAsia" w:ascii="仿宋_GB2312" w:hAnsi="仿宋_GB2312" w:eastAsia="仿宋_GB2312" w:cs="仿宋_GB2312"/>
          <w:sz w:val="28"/>
          <w:szCs w:val="28"/>
          <w:u w:val="single"/>
          <w:lang w:val="en-US" w:eastAsia="zh-CN"/>
        </w:rPr>
        <w:t>深圳市虚拟电厂精准响应</w:t>
      </w:r>
      <w:r>
        <w:rPr>
          <w:rFonts w:hint="eastAsia" w:ascii="仿宋_GB2312" w:hAnsi="仿宋_GB2312" w:eastAsia="仿宋_GB2312" w:cs="仿宋_GB2312"/>
          <w:sz w:val="28"/>
          <w:szCs w:val="28"/>
          <w:lang w:val="en-US" w:eastAsia="zh-CN"/>
        </w:rPr>
        <w:t>工作的公平、公正、公开、有序进行，保障深圳市虚拟电厂平稳、高效运行，特向贵中心承诺如下事项。</w:t>
      </w:r>
    </w:p>
    <w:p>
      <w:pPr>
        <w:pStyle w:val="3"/>
        <w:rPr>
          <w:rFonts w:hint="eastAsia"/>
        </w:rPr>
        <w:sectPr>
          <w:pgSz w:w="11906" w:h="16838"/>
          <w:pgMar w:top="1440" w:right="1800" w:bottom="1440" w:left="1800" w:header="851" w:footer="992" w:gutter="0"/>
          <w:pgNumType w:start="1"/>
          <w:cols w:space="720" w:num="1"/>
          <w:docGrid w:type="lines" w:linePitch="312" w:charSpace="0"/>
        </w:sectPr>
      </w:pPr>
    </w:p>
    <w:p>
      <w:pPr>
        <w:pStyle w:val="4"/>
        <w:numPr>
          <w:ilvl w:val="0"/>
          <w:numId w:val="3"/>
        </w:numPr>
      </w:pPr>
      <w:bookmarkStart w:id="1" w:name="_Toc2588"/>
      <w:bookmarkStart w:id="2" w:name="_Toc131784630"/>
      <w:bookmarkStart w:id="3" w:name="_Toc5308"/>
      <w:bookmarkStart w:id="4" w:name="_Toc24042"/>
      <w:r>
        <w:rPr>
          <w:rFonts w:hint="eastAsia"/>
        </w:rPr>
        <w:t>定义与解释</w:t>
      </w:r>
      <w:bookmarkEnd w:id="1"/>
      <w:bookmarkEnd w:id="2"/>
      <w:bookmarkEnd w:id="3"/>
      <w:bookmarkEnd w:id="4"/>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本承诺书中所用术语，除上下文另有要求外，定义如下:</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bCs w:val="0"/>
          <w:sz w:val="28"/>
          <w:szCs w:val="28"/>
          <w:lang w:val="en-US" w:eastAsia="zh-CN"/>
        </w:rPr>
        <w:t>深圳虚拟电厂管理中心</w:t>
      </w:r>
      <w:r>
        <w:rPr>
          <w:rFonts w:hint="eastAsia" w:ascii="仿宋_GB2312" w:hAnsi="仿宋_GB2312" w:eastAsia="仿宋_GB2312" w:cs="仿宋_GB2312"/>
          <w:szCs w:val="28"/>
        </w:rPr>
        <w:t>：</w:t>
      </w:r>
      <w:r>
        <w:rPr>
          <w:rFonts w:hint="eastAsia" w:ascii="仿宋_GB2312" w:hAnsi="仿宋_GB2312" w:eastAsia="仿宋_GB2312" w:cs="仿宋_GB2312"/>
          <w:szCs w:val="28"/>
          <w:lang w:val="en-US" w:eastAsia="zh-CN"/>
        </w:rPr>
        <w:t>以下简称“管理中心”，</w:t>
      </w:r>
      <w:r>
        <w:rPr>
          <w:rFonts w:hint="eastAsia" w:ascii="仿宋_GB2312" w:hAnsi="仿宋_GB2312" w:eastAsia="仿宋_GB2312" w:cs="仿宋_GB2312"/>
          <w:bCs w:val="0"/>
          <w:sz w:val="28"/>
          <w:szCs w:val="28"/>
        </w:rPr>
        <w:t>由深圳市发展和改革委员会授权负责组织开展深圳</w:t>
      </w:r>
      <w:r>
        <w:rPr>
          <w:rFonts w:hint="eastAsia" w:ascii="仿宋_GB2312" w:hAnsi="仿宋_GB2312" w:eastAsia="仿宋_GB2312" w:cs="仿宋_GB2312"/>
          <w:bCs w:val="0"/>
          <w:sz w:val="28"/>
          <w:szCs w:val="28"/>
          <w:lang w:val="en-US" w:eastAsia="zh-CN"/>
        </w:rPr>
        <w:t>市</w:t>
      </w:r>
      <w:r>
        <w:rPr>
          <w:rFonts w:hint="eastAsia" w:ascii="仿宋_GB2312" w:hAnsi="仿宋_GB2312" w:eastAsia="仿宋_GB2312" w:cs="仿宋_GB2312"/>
          <w:bCs w:val="0"/>
          <w:sz w:val="28"/>
          <w:szCs w:val="28"/>
        </w:rPr>
        <w:t>虚拟电厂精准响应管理工作</w:t>
      </w:r>
      <w:r>
        <w:rPr>
          <w:rFonts w:hint="eastAsia" w:ascii="仿宋_GB2312" w:hAnsi="仿宋_GB2312" w:eastAsia="仿宋_GB2312" w:cs="仿宋_GB2312"/>
          <w:szCs w:val="28"/>
        </w:rPr>
        <w:t>。</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虚拟电厂：通过先进的信息通信、物联网、自动控制等技术，实现分布式电源、储能系统、可控负荷、电动汽车等分布式资源的聚合和协调优化，以作为一个特殊电厂参与电网运行、电力市场等应用的能源协调管理系统。</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紧急情况：电力系统内发电、输电、变电及供电设备发生重大事故；电网频率或电压超出规定范围，输变电设备负载超出规定值，主干线路功率、断面潮流值超出规定的稳定限额以及其他威胁电力系统安全运行，有可能破坏电力系统稳定，导致电力系统瓦解以至大面积停电等运行情况。</w:t>
      </w:r>
    </w:p>
    <w:p>
      <w:pPr>
        <w:pStyle w:val="6"/>
        <w:keepNext w:val="0"/>
        <w:numPr>
          <w:ilvl w:val="2"/>
          <w:numId w:val="3"/>
        </w:numPr>
        <w:spacing w:before="0" w:after="0" w:line="480" w:lineRule="exact"/>
        <w:ind w:left="9" w:firstLine="551"/>
        <w:rPr>
          <w:rFonts w:hint="eastAsia" w:ascii="仿宋_GB2312" w:hAnsi="仿宋_GB2312" w:eastAsia="仿宋_GB2312" w:cs="仿宋_GB2312"/>
          <w:szCs w:val="28"/>
        </w:rPr>
      </w:pPr>
      <w:r>
        <w:rPr>
          <w:rFonts w:hint="eastAsia" w:ascii="仿宋_GB2312" w:hAnsi="仿宋_GB2312" w:eastAsia="仿宋_GB2312" w:cs="仿宋_GB2312"/>
          <w:szCs w:val="28"/>
        </w:rPr>
        <w:t>虚拟电厂运营商</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lang w:val="en-US" w:eastAsia="zh-CN"/>
        </w:rPr>
        <w:t>独立</w:t>
      </w:r>
      <w:r>
        <w:rPr>
          <w:rFonts w:hint="eastAsia" w:ascii="仿宋_GB2312" w:hAnsi="仿宋_GB2312" w:eastAsia="仿宋_GB2312" w:cs="仿宋_GB2312"/>
          <w:szCs w:val="28"/>
        </w:rPr>
        <w:t>提供精准响应服务的电力用户或聚合代理多个电力用户的负荷聚合商。</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工作日：指除法定节假日（包括双休日）以外的公历日。</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不可抗力：指不能预见、不能避免并不能克服的客观情况。包括：龙卷风、海啸、泥石流、山体滑坡、水灾、火灾、超设计标准的地震、台风、雷电、雾闪等，以及战争、公共卫生、骚乱等。</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两个细则：《南方区域电力并网运行管理实施细则》和《南方区域电力辅助服务管理实施细则》</w:t>
      </w:r>
      <w:r>
        <w:rPr>
          <w:rFonts w:hint="eastAsia" w:ascii="仿宋_GB2312" w:hAnsi="仿宋_GB2312" w:eastAsia="仿宋_GB2312" w:cs="仿宋_GB2312"/>
          <w:szCs w:val="28"/>
          <w:lang w:eastAsia="zh-CN"/>
        </w:rPr>
        <w:t>。</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解释:</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本承诺书中的标题仅为阅读方便，不应以任何方式影响对本承诺书的解释。</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除上下文另有要求外，本承诺书所指的年、月、日均为公历年、月、日。</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本承诺书中的“包括”一词指：包括但不限于。</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本承诺书中的数字、期限等均包含本数。</w:t>
      </w:r>
    </w:p>
    <w:p>
      <w:pPr>
        <w:pStyle w:val="6"/>
        <w:keepNext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本承诺书中引用的国标和行业技术规范如有更新，按照新颁布的执行。</w:t>
      </w:r>
    </w:p>
    <w:p>
      <w:pPr>
        <w:pStyle w:val="4"/>
        <w:numPr>
          <w:ilvl w:val="0"/>
          <w:numId w:val="3"/>
        </w:numPr>
      </w:pPr>
      <w:bookmarkStart w:id="5" w:name="_Toc4397"/>
      <w:bookmarkStart w:id="6" w:name="_Toc27771"/>
      <w:bookmarkStart w:id="7" w:name="_Toc131784631"/>
      <w:bookmarkStart w:id="8" w:name="_Toc5606"/>
      <w:r>
        <w:rPr>
          <w:rFonts w:hint="eastAsia"/>
        </w:rPr>
        <w:t>企业陈述</w:t>
      </w:r>
      <w:bookmarkEnd w:id="5"/>
      <w:bookmarkEnd w:id="6"/>
      <w:bookmarkEnd w:id="7"/>
      <w:bookmarkEnd w:id="8"/>
    </w:p>
    <w:p>
      <w:pPr>
        <w:spacing w:line="480" w:lineRule="exact"/>
        <w:ind w:firstLine="560" w:firstLineChars="200"/>
        <w:rPr>
          <w:rFonts w:ascii="仿宋_GB2312" w:hAnsi="仿宋" w:eastAsia="仿宋_GB2312"/>
          <w:sz w:val="28"/>
        </w:rPr>
      </w:pPr>
      <w:r>
        <w:rPr>
          <w:rFonts w:hint="eastAsia" w:ascii="仿宋_GB2312" w:hAnsi="仿宋" w:eastAsia="仿宋_GB2312"/>
          <w:sz w:val="28"/>
        </w:rPr>
        <w:t>本企业陈述如下：</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本企业为一家依法设立并合法存续的企业，有权签署并有能力履行本承诺书。</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本企业签署和履行本承诺书所需的一切手续（包括办理必要的政府批准、取得营业执照）均已办妥并合法有效。</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在签署本承诺书时，任何法院、仲裁机构、行政机关或监管机构均未作出任何足以对本企业履行本承诺书产生重大不利影响的判决、裁定、裁决或具体行政行为。</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本企业为签署本承诺书所需的内部授权程序均已完成，本承诺书的签署人是本企业法定代表人或委托代理人。</w:t>
      </w:r>
    </w:p>
    <w:p>
      <w:pPr>
        <w:pStyle w:val="4"/>
        <w:numPr>
          <w:ilvl w:val="0"/>
          <w:numId w:val="3"/>
        </w:numPr>
      </w:pPr>
      <w:bookmarkStart w:id="9" w:name="_Toc24231"/>
      <w:bookmarkStart w:id="10" w:name="_Toc131784632"/>
      <w:bookmarkStart w:id="11" w:name="_Toc31368"/>
      <w:bookmarkStart w:id="12" w:name="_Toc22745"/>
      <w:r>
        <w:rPr>
          <w:rFonts w:hint="eastAsia" w:ascii="仿宋_GB2312" w:hAnsi="仿宋_GB2312" w:eastAsia="仿宋_GB2312" w:cs="仿宋_GB2312"/>
        </w:rPr>
        <w:t>虚拟电厂运营商</w:t>
      </w:r>
      <w:r>
        <w:rPr>
          <w:rFonts w:hint="eastAsia"/>
        </w:rPr>
        <w:t>义务</w:t>
      </w:r>
      <w:bookmarkEnd w:id="9"/>
      <w:bookmarkEnd w:id="10"/>
      <w:bookmarkEnd w:id="11"/>
      <w:bookmarkEnd w:id="12"/>
    </w:p>
    <w:p>
      <w:pPr>
        <w:spacing w:line="480" w:lineRule="exact"/>
        <w:ind w:firstLine="560" w:firstLineChars="200"/>
        <w:rPr>
          <w:rFonts w:ascii="仿宋_GB2312" w:hAnsi="仿宋" w:eastAsia="仿宋_GB2312"/>
          <w:sz w:val="28"/>
        </w:rPr>
      </w:pPr>
      <w:r>
        <w:rPr>
          <w:rFonts w:hint="eastAsia" w:ascii="仿宋_GB2312" w:hAnsi="仿宋" w:eastAsia="仿宋_GB2312"/>
          <w:sz w:val="28"/>
        </w:rPr>
        <w:t>本虚拟电厂运营商承诺履行如下义务：</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遵守深圳市虚拟电厂精准响应</w:t>
      </w:r>
      <w:r>
        <w:rPr>
          <w:rFonts w:hint="eastAsia" w:ascii="仿宋_GB2312" w:hAnsi="仿宋_GB2312" w:eastAsia="仿宋_GB2312" w:cs="仿宋_GB2312"/>
          <w:szCs w:val="28"/>
          <w:lang w:val="en-US" w:eastAsia="zh-CN"/>
        </w:rPr>
        <w:t>管理办法</w:t>
      </w:r>
      <w:r>
        <w:rPr>
          <w:rFonts w:hint="eastAsia" w:ascii="仿宋_GB2312" w:hAnsi="仿宋_GB2312" w:eastAsia="仿宋_GB2312" w:cs="仿宋_GB2312"/>
          <w:szCs w:val="28"/>
        </w:rPr>
        <w:t>有关规定，服从</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的统一</w:t>
      </w:r>
      <w:r>
        <w:rPr>
          <w:rFonts w:hint="eastAsia" w:ascii="仿宋_GB2312" w:hAnsi="仿宋_GB2312" w:eastAsia="仿宋_GB2312" w:cs="仿宋_GB2312"/>
          <w:szCs w:val="28"/>
          <w:lang w:val="en-US" w:eastAsia="zh-CN"/>
        </w:rPr>
        <w:t>管理</w:t>
      </w:r>
      <w:r>
        <w:rPr>
          <w:rFonts w:hint="eastAsia" w:ascii="仿宋_GB2312" w:hAnsi="仿宋_GB2312" w:eastAsia="仿宋_GB2312" w:cs="仿宋_GB2312"/>
          <w:szCs w:val="28"/>
        </w:rPr>
        <w:t>。</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根据深圳市虚拟电厂精准响应</w:t>
      </w:r>
      <w:r>
        <w:rPr>
          <w:rFonts w:hint="eastAsia" w:ascii="仿宋_GB2312" w:hAnsi="仿宋_GB2312" w:eastAsia="仿宋_GB2312" w:cs="仿宋_GB2312"/>
          <w:szCs w:val="28"/>
          <w:lang w:val="en-US" w:eastAsia="zh-CN"/>
        </w:rPr>
        <w:t>管理办法</w:t>
      </w:r>
      <w:r>
        <w:rPr>
          <w:rFonts w:hint="eastAsia" w:ascii="仿宋_GB2312" w:hAnsi="仿宋_GB2312" w:eastAsia="仿宋_GB2312" w:cs="仿宋_GB2312"/>
          <w:szCs w:val="28"/>
        </w:rPr>
        <w:t>等有关规定提供精准响应服务，真实、可靠传输运行数据。</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接受</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的业务指导和协调，并配备相应的技术管理人员。</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制定</w:t>
      </w:r>
      <w:r>
        <w:rPr>
          <w:rFonts w:hint="eastAsia" w:ascii="仿宋_GB2312" w:hAnsi="仿宋_GB2312" w:eastAsia="仿宋_GB2312" w:cs="仿宋_GB2312"/>
          <w:szCs w:val="28"/>
          <w:lang w:val="en-US" w:eastAsia="zh-CN"/>
        </w:rPr>
        <w:t>与</w:t>
      </w:r>
      <w:r>
        <w:rPr>
          <w:rFonts w:hint="eastAsia" w:ascii="仿宋_GB2312" w:hAnsi="仿宋_GB2312" w:eastAsia="仿宋_GB2312" w:cs="仿宋_GB2312"/>
          <w:szCs w:val="28"/>
        </w:rPr>
        <w:t>虚拟电厂精准响应相统一的现场运行规程，并送</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备案。</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主动采取措施，防止影响电力系统安全运行的事故发生。配合</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定期开展各项涉及电网安全的专项安全检查，落实检查中提出的防范措施。</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 w:eastAsia="仿宋_GB2312"/>
          <w:sz w:val="28"/>
        </w:rPr>
        <w:t>本虚拟电厂运营商参与深圳市虚拟电厂精准响应不影响电力用户正常生产、运行，虚拟电厂运营商与代理用户产生的纠纷由本虚拟电厂运营商自行处理，也可申请管理中心协调，协商无法解决的，可通过</w:t>
      </w:r>
      <w:r>
        <w:rPr>
          <w:rFonts w:hint="eastAsia" w:ascii="仿宋_GB2312" w:eastAsia="仿宋_GB2312"/>
          <w:sz w:val="28"/>
          <w:lang w:val="en-US" w:eastAsia="zh-CN"/>
        </w:rPr>
        <w:t>仲裁或</w:t>
      </w:r>
      <w:r>
        <w:rPr>
          <w:rFonts w:hint="eastAsia" w:ascii="仿宋_GB2312" w:hAnsi="仿宋" w:eastAsia="仿宋_GB2312"/>
          <w:sz w:val="28"/>
        </w:rPr>
        <w:t>法律途径解决</w:t>
      </w:r>
      <w:r>
        <w:rPr>
          <w:rFonts w:hint="eastAsia" w:ascii="仿宋_GB2312" w:hAnsi="仿宋_GB2312" w:eastAsia="仿宋_GB2312" w:cs="仿宋_GB2312"/>
          <w:szCs w:val="28"/>
        </w:rPr>
        <w:t>。</w:t>
      </w:r>
    </w:p>
    <w:p>
      <w:pPr>
        <w:pStyle w:val="5"/>
        <w:keepNext w:val="0"/>
        <w:numPr>
          <w:ilvl w:val="1"/>
          <w:numId w:val="1"/>
        </w:numPr>
        <w:spacing w:before="0" w:after="0" w:line="480" w:lineRule="exact"/>
        <w:ind w:left="7" w:firstLine="528"/>
        <w:rPr>
          <w:rFonts w:hint="eastAsia" w:ascii="仿宋_GB2312" w:hAnsi="仿宋" w:eastAsia="仿宋_GB2312"/>
          <w:sz w:val="28"/>
          <w:szCs w:val="22"/>
        </w:rPr>
      </w:pPr>
      <w:r>
        <w:rPr>
          <w:rFonts w:hint="eastAsia" w:ascii="仿宋_GB2312" w:hAnsi="仿宋" w:eastAsia="仿宋_GB2312"/>
          <w:sz w:val="28"/>
        </w:rPr>
        <w:t>本虚拟电厂运营商</w:t>
      </w:r>
      <w:r>
        <w:rPr>
          <w:rFonts w:hint="eastAsia" w:ascii="仿宋_GB2312" w:hAnsi="仿宋" w:eastAsia="仿宋_GB2312"/>
          <w:sz w:val="28"/>
          <w:szCs w:val="22"/>
        </w:rPr>
        <w:t>拥有至少2名具备电能管理、需求侧管理能力或从业经验的专业人员，满足参与电力需求响应、辅助服务市场的管理、服务等工作需要。</w:t>
      </w:r>
    </w:p>
    <w:p>
      <w:pPr>
        <w:pStyle w:val="5"/>
        <w:keepNext w:val="0"/>
        <w:numPr>
          <w:ilvl w:val="1"/>
          <w:numId w:val="1"/>
        </w:numPr>
        <w:spacing w:before="0" w:after="0" w:line="480" w:lineRule="exact"/>
        <w:ind w:left="7" w:firstLine="528"/>
        <w:rPr>
          <w:rFonts w:hint="eastAsia" w:ascii="仿宋_GB2312" w:hAnsi="仿宋" w:eastAsia="仿宋_GB2312"/>
          <w:sz w:val="28"/>
          <w:szCs w:val="22"/>
        </w:rPr>
      </w:pPr>
      <w:r>
        <w:rPr>
          <w:rFonts w:hint="eastAsia" w:ascii="仿宋_GB2312" w:hAnsi="仿宋" w:eastAsia="仿宋_GB2312"/>
          <w:sz w:val="28"/>
        </w:rPr>
        <w:t>本虚拟电厂运营商</w:t>
      </w:r>
      <w:r>
        <w:rPr>
          <w:rFonts w:hint="eastAsia" w:ascii="仿宋_GB2312" w:hAnsi="仿宋" w:eastAsia="仿宋_GB2312"/>
          <w:sz w:val="28"/>
          <w:szCs w:val="22"/>
        </w:rPr>
        <w:t>具有与负荷聚合规模相适应的固定经营场所及电力市场技术支持系统需要的信息系统和客户服务平台，能够满足信息申报、合同签订、客户服务、收益结算等功能。</w:t>
      </w:r>
    </w:p>
    <w:p>
      <w:pPr>
        <w:pStyle w:val="5"/>
        <w:keepNext w:val="0"/>
        <w:numPr>
          <w:ilvl w:val="1"/>
          <w:numId w:val="1"/>
        </w:numPr>
        <w:spacing w:before="0" w:after="0" w:line="480" w:lineRule="exact"/>
        <w:ind w:left="7" w:firstLine="528"/>
        <w:rPr>
          <w:rFonts w:hint="eastAsia" w:ascii="仿宋_GB2312" w:hAnsi="仿宋" w:eastAsia="仿宋_GB2312"/>
          <w:sz w:val="28"/>
          <w:szCs w:val="22"/>
        </w:rPr>
      </w:pPr>
      <w:r>
        <w:rPr>
          <w:rFonts w:hint="eastAsia" w:ascii="仿宋_GB2312" w:hAnsi="仿宋" w:eastAsia="仿宋_GB2312"/>
          <w:sz w:val="28"/>
          <w:szCs w:val="22"/>
        </w:rPr>
        <w:t>按时办理完成和正确使用深圳虚拟电厂管理中心第三方数字证书认证，保障账户和深圳虚拟电厂管理中心平台数据安全。</w:t>
      </w:r>
    </w:p>
    <w:p>
      <w:pPr>
        <w:pStyle w:val="5"/>
        <w:keepNext w:val="0"/>
        <w:numPr>
          <w:ilvl w:val="1"/>
          <w:numId w:val="1"/>
        </w:numPr>
        <w:spacing w:before="0" w:after="0" w:line="480" w:lineRule="exact"/>
        <w:ind w:left="7" w:firstLine="528"/>
        <w:rPr>
          <w:rFonts w:hint="eastAsia" w:ascii="仿宋_GB2312" w:hAnsi="仿宋" w:eastAsia="仿宋_GB2312"/>
          <w:sz w:val="28"/>
          <w:szCs w:val="22"/>
        </w:rPr>
      </w:pPr>
      <w:r>
        <w:rPr>
          <w:rFonts w:hint="eastAsia" w:ascii="仿宋_GB2312" w:hAnsi="仿宋" w:eastAsia="仿宋_GB2312"/>
          <w:sz w:val="28"/>
          <w:szCs w:val="22"/>
        </w:rPr>
        <w:t>严格按照规定向深圳虚拟电厂管理中心报送相关资料和信息，保证公示和提交的材料信息完整、准确、真实，不存在弄虚作假、误导性陈述或者重大遗漏的情况。</w:t>
      </w:r>
    </w:p>
    <w:p>
      <w:pPr>
        <w:pStyle w:val="5"/>
        <w:keepNext w:val="0"/>
        <w:numPr>
          <w:ilvl w:val="1"/>
          <w:numId w:val="1"/>
        </w:numPr>
        <w:spacing w:before="0" w:after="0" w:line="480" w:lineRule="exact"/>
        <w:ind w:left="7" w:firstLine="528"/>
      </w:pPr>
      <w:r>
        <w:rPr>
          <w:rFonts w:hint="eastAsia" w:ascii="仿宋_GB2312" w:hAnsi="仿宋" w:eastAsia="仿宋_GB2312"/>
          <w:sz w:val="28"/>
          <w:szCs w:val="22"/>
        </w:rPr>
        <w:t>提供的IP地址准确，接入数据真实可靠，未对数据进行篡改。同时承诺，我公司的虚拟电厂运营商聚合平台将主动规避使用“南网电网有限公司、南方电网、深圳电网、深圳供电局”等敏感文字、图标、跳转链接，承诺在拓展聚合用户的宣传中无混淆或夸大与深圳虚拟电厂管理中心的关系。</w:t>
      </w:r>
      <w:bookmarkStart w:id="57" w:name="_GoBack"/>
      <w:bookmarkEnd w:id="57"/>
    </w:p>
    <w:p>
      <w:pPr>
        <w:pStyle w:val="4"/>
        <w:numPr>
          <w:ilvl w:val="0"/>
          <w:numId w:val="3"/>
        </w:numPr>
      </w:pPr>
      <w:bookmarkStart w:id="13" w:name="_Toc4219"/>
      <w:bookmarkStart w:id="14" w:name="_Toc131784633"/>
      <w:bookmarkStart w:id="15" w:name="_Toc22492"/>
      <w:bookmarkStart w:id="16" w:name="_Toc19471"/>
      <w:r>
        <w:rPr>
          <w:rFonts w:hint="eastAsia"/>
        </w:rPr>
        <w:t>接入条件</w:t>
      </w:r>
      <w:bookmarkEnd w:id="13"/>
      <w:bookmarkEnd w:id="14"/>
      <w:bookmarkEnd w:id="15"/>
      <w:r>
        <w:rPr>
          <w:rFonts w:hint="eastAsia"/>
        </w:rPr>
        <w:t xml:space="preserve"> </w:t>
      </w:r>
    </w:p>
    <w:p>
      <w:pPr>
        <w:spacing w:line="480" w:lineRule="exact"/>
        <w:ind w:firstLine="560" w:firstLineChars="200"/>
        <w:rPr>
          <w:rFonts w:hint="eastAsia" w:ascii="仿宋_GB2312" w:hAnsi="仿宋" w:eastAsia="仿宋_GB2312"/>
          <w:sz w:val="28"/>
        </w:rPr>
      </w:pPr>
      <w:r>
        <w:rPr>
          <w:rFonts w:hint="eastAsia" w:ascii="仿宋_GB2312" w:hAnsi="仿宋" w:eastAsia="仿宋_GB2312"/>
          <w:sz w:val="28"/>
        </w:rPr>
        <w:t>本虚拟电厂运营商承诺已具备虚拟电厂接入条件</w:t>
      </w:r>
      <w:r>
        <w:rPr>
          <w:rFonts w:hint="eastAsia" w:ascii="仿宋_GB2312" w:hAnsi="仿宋" w:eastAsia="仿宋_GB2312"/>
          <w:sz w:val="28"/>
          <w:lang w:eastAsia="zh-CN"/>
        </w:rPr>
        <w:t>，</w:t>
      </w:r>
      <w:r>
        <w:rPr>
          <w:rFonts w:hint="eastAsia" w:ascii="仿宋_GB2312" w:hAnsi="仿宋" w:eastAsia="仿宋_GB2312"/>
          <w:sz w:val="28"/>
          <w:lang w:val="en-US" w:eastAsia="zh-CN"/>
        </w:rPr>
        <w:t>包括：</w:t>
      </w:r>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一、二次设备符合国家标准、行业标准、反事故措施和其他有关规定，有关参数已合理匹配，具备接受</w:t>
      </w:r>
      <w:r>
        <w:rPr>
          <w:rFonts w:hint="eastAsia" w:ascii="仿宋_GB2312" w:hAnsi="仿宋_GB2312" w:eastAsia="仿宋_GB2312" w:cs="仿宋_GB2312"/>
          <w:szCs w:val="28"/>
          <w:lang w:val="en-US" w:eastAsia="zh-CN"/>
        </w:rPr>
        <w:t>虚拟电厂管理中心</w:t>
      </w:r>
      <w:r>
        <w:rPr>
          <w:rFonts w:hint="eastAsia" w:ascii="仿宋_GB2312" w:hAnsi="仿宋_GB2312" w:eastAsia="仿宋_GB2312" w:cs="仿宋_GB2312"/>
          <w:szCs w:val="28"/>
        </w:rPr>
        <w:t>统一</w:t>
      </w:r>
      <w:r>
        <w:rPr>
          <w:rFonts w:hint="eastAsia" w:ascii="仿宋_GB2312" w:hAnsi="仿宋_GB2312" w:eastAsia="仿宋_GB2312" w:cs="仿宋_GB2312"/>
          <w:szCs w:val="28"/>
          <w:lang w:val="en-US" w:eastAsia="zh-CN"/>
        </w:rPr>
        <w:t>管理</w:t>
      </w:r>
      <w:r>
        <w:rPr>
          <w:rFonts w:hint="eastAsia" w:ascii="仿宋_GB2312" w:hAnsi="仿宋_GB2312" w:eastAsia="仿宋_GB2312" w:cs="仿宋_GB2312"/>
          <w:szCs w:val="28"/>
        </w:rPr>
        <w:t>的条件。</w:t>
      </w:r>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自动化设施符合国家标准、行业标准和其他有规定，按设计要求安装、调试完毕，经验收合格，并符合本承诺书第</w:t>
      </w:r>
      <w:r>
        <w:rPr>
          <w:rFonts w:ascii="仿宋_GB2312" w:hAnsi="仿宋_GB2312" w:eastAsia="仿宋_GB2312" w:cs="仿宋_GB2312"/>
          <w:szCs w:val="28"/>
        </w:rPr>
        <w:t>8</w:t>
      </w:r>
      <w:r>
        <w:rPr>
          <w:rFonts w:hint="eastAsia" w:ascii="仿宋_GB2312" w:hAnsi="仿宋_GB2312" w:eastAsia="仿宋_GB2312" w:cs="仿宋_GB2312"/>
          <w:szCs w:val="28"/>
        </w:rPr>
        <w:t>章的有关约定。</w:t>
      </w:r>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通信设施须符合国家标准、行业标准和其他有关规定，按设计要求安装、调试完毕，经验收合格，</w:t>
      </w:r>
      <w:r>
        <w:rPr>
          <w:rFonts w:hint="eastAsia" w:ascii="仿宋_GB2312" w:hAnsi="仿宋_GB2312" w:eastAsia="仿宋_GB2312" w:cs="仿宋_GB2312"/>
          <w:szCs w:val="28"/>
          <w:lang w:val="en-US" w:eastAsia="zh-CN"/>
        </w:rPr>
        <w:t>并</w:t>
      </w:r>
      <w:r>
        <w:rPr>
          <w:rFonts w:hint="eastAsia" w:ascii="仿宋_GB2312" w:hAnsi="仿宋_GB2312" w:eastAsia="仿宋_GB2312" w:cs="仿宋_GB2312"/>
          <w:szCs w:val="28"/>
        </w:rPr>
        <w:t>与虚拟电厂同步投运，并符合本承诺书第</w:t>
      </w:r>
      <w:r>
        <w:rPr>
          <w:rFonts w:ascii="仿宋_GB2312" w:hAnsi="仿宋_GB2312" w:eastAsia="仿宋_GB2312" w:cs="仿宋_GB2312"/>
          <w:szCs w:val="28"/>
        </w:rPr>
        <w:t>9</w:t>
      </w:r>
      <w:r>
        <w:rPr>
          <w:rFonts w:hint="eastAsia" w:ascii="仿宋_GB2312" w:hAnsi="仿宋_GB2312" w:eastAsia="仿宋_GB2312" w:cs="仿宋_GB2312"/>
          <w:szCs w:val="28"/>
        </w:rPr>
        <w:t>章的有关约定。</w:t>
      </w:r>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网络安全设备设施须符合国家标准、行业标准和其他关规定，按设计要求安装、调试完毕，经验收合格，</w:t>
      </w:r>
      <w:r>
        <w:rPr>
          <w:rFonts w:hint="eastAsia" w:ascii="仿宋_GB2312" w:hAnsi="仿宋_GB2312" w:eastAsia="仿宋_GB2312" w:cs="仿宋_GB2312"/>
          <w:szCs w:val="28"/>
          <w:lang w:val="en-US" w:eastAsia="zh-CN"/>
        </w:rPr>
        <w:t>并</w:t>
      </w:r>
      <w:r>
        <w:rPr>
          <w:rFonts w:hint="eastAsia" w:ascii="仿宋_GB2312" w:hAnsi="仿宋_GB2312" w:eastAsia="仿宋_GB2312" w:cs="仿宋_GB2312"/>
          <w:szCs w:val="28"/>
        </w:rPr>
        <w:t>与虚拟电厂同步投运，并符合本承诺书第</w:t>
      </w:r>
      <w:r>
        <w:rPr>
          <w:rFonts w:ascii="仿宋_GB2312" w:hAnsi="仿宋_GB2312" w:eastAsia="仿宋_GB2312" w:cs="仿宋_GB2312"/>
          <w:szCs w:val="28"/>
        </w:rPr>
        <w:t>10</w:t>
      </w:r>
      <w:r>
        <w:rPr>
          <w:rFonts w:hint="eastAsia" w:ascii="仿宋_GB2312" w:hAnsi="仿宋_GB2312" w:eastAsia="仿宋_GB2312" w:cs="仿宋_GB2312"/>
          <w:szCs w:val="28"/>
        </w:rPr>
        <w:t>章的有关约定。</w:t>
      </w:r>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具备与</w:t>
      </w:r>
      <w:r>
        <w:rPr>
          <w:rFonts w:hint="eastAsia" w:ascii="仿宋_GB2312" w:hAnsi="仿宋_GB2312" w:eastAsia="仿宋_GB2312" w:cs="仿宋_GB2312"/>
          <w:szCs w:val="28"/>
          <w:lang w:val="en-US" w:eastAsia="zh-CN"/>
        </w:rPr>
        <w:t>管理中心</w:t>
      </w:r>
      <w:r>
        <w:rPr>
          <w:rFonts w:hint="eastAsia" w:ascii="仿宋_GB2312" w:hAnsi="仿宋_GB2312" w:eastAsia="仿宋_GB2312" w:cs="仿宋_GB2312"/>
          <w:szCs w:val="28"/>
        </w:rPr>
        <w:t>及时、准确进行运行信息（</w:t>
      </w:r>
      <w:r>
        <w:rPr>
          <w:rFonts w:hint="eastAsia" w:ascii="仿宋_GB2312" w:hAnsi="仿宋_GB2312" w:eastAsia="仿宋_GB2312" w:cs="仿宋_GB2312"/>
          <w:szCs w:val="28"/>
          <w:lang w:val="en-US" w:eastAsia="zh-CN"/>
        </w:rPr>
        <w:t>精准响应调节</w:t>
      </w:r>
      <w:r>
        <w:rPr>
          <w:rFonts w:hint="eastAsia" w:ascii="仿宋_GB2312" w:hAnsi="仿宋_GB2312" w:eastAsia="仿宋_GB2312" w:cs="仿宋_GB2312"/>
          <w:szCs w:val="28"/>
        </w:rPr>
        <w:t>计划、考核结果、可调出力、邮件通知等）交互的系统或平台，并与</w:t>
      </w:r>
      <w:r>
        <w:rPr>
          <w:rFonts w:hint="eastAsia" w:ascii="仿宋_GB2312" w:hAnsi="仿宋_GB2312" w:eastAsia="仿宋_GB2312" w:cs="仿宋_GB2312"/>
          <w:szCs w:val="28"/>
          <w:lang w:eastAsia="zh-CN"/>
        </w:rPr>
        <w:t>虚拟电厂管理云平台</w:t>
      </w:r>
      <w:r>
        <w:rPr>
          <w:rFonts w:hint="eastAsia" w:ascii="仿宋_GB2312" w:hAnsi="仿宋_GB2312" w:eastAsia="仿宋_GB2312" w:cs="仿宋_GB2312"/>
          <w:szCs w:val="28"/>
        </w:rPr>
        <w:t>对接，满足</w:t>
      </w:r>
      <w:r>
        <w:rPr>
          <w:rFonts w:hint="eastAsia" w:ascii="仿宋_GB2312" w:hAnsi="仿宋_GB2312" w:eastAsia="仿宋_GB2312" w:cs="仿宋_GB2312"/>
          <w:szCs w:val="28"/>
          <w:lang w:val="en-US" w:eastAsia="zh-CN"/>
        </w:rPr>
        <w:t>管理中心</w:t>
      </w:r>
      <w:r>
        <w:rPr>
          <w:rFonts w:hint="eastAsia" w:ascii="仿宋_GB2312" w:hAnsi="仿宋_GB2312" w:eastAsia="仿宋_GB2312" w:cs="仿宋_GB2312"/>
          <w:szCs w:val="28"/>
        </w:rPr>
        <w:t>运行管理要求。</w:t>
      </w:r>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ascii="仿宋_GB2312" w:hAnsi="仿宋_GB2312" w:eastAsia="仿宋_GB2312" w:cs="仿宋_GB2312"/>
          <w:szCs w:val="28"/>
        </w:rPr>
        <w:t>投运前提供以下文件</w:t>
      </w:r>
      <w:r>
        <w:rPr>
          <w:rFonts w:hint="eastAsia" w:ascii="仿宋_GB2312" w:hAnsi="仿宋_GB2312" w:eastAsia="仿宋_GB2312" w:cs="仿宋_GB2312"/>
          <w:szCs w:val="28"/>
        </w:rPr>
        <w:t>：</w:t>
      </w:r>
    </w:p>
    <w:p>
      <w:pPr>
        <w:spacing w:line="480" w:lineRule="exact"/>
        <w:ind w:firstLine="560" w:firstLineChars="200"/>
        <w:rPr>
          <w:rFonts w:ascii="仿宋_GB2312" w:hAnsi="仿宋" w:eastAsia="仿宋_GB2312"/>
          <w:sz w:val="28"/>
        </w:rPr>
      </w:pPr>
      <w:r>
        <w:rPr>
          <w:rFonts w:hint="eastAsia" w:ascii="仿宋_GB2312" w:hAnsi="仿宋" w:eastAsia="仿宋_GB2312"/>
          <w:sz w:val="28"/>
        </w:rPr>
        <w:t>（1）</w:t>
      </w:r>
      <w:r>
        <w:rPr>
          <w:rFonts w:hint="eastAsia" w:ascii="仿宋_GB2312" w:hAnsi="仿宋" w:eastAsia="仿宋_GB2312"/>
          <w:sz w:val="28"/>
          <w:lang w:val="en-US" w:eastAsia="zh-CN"/>
        </w:rPr>
        <w:t>联系</w:t>
      </w:r>
      <w:r>
        <w:rPr>
          <w:rFonts w:ascii="仿宋_GB2312" w:hAnsi="仿宋" w:eastAsia="仿宋_GB2312"/>
          <w:sz w:val="28"/>
        </w:rPr>
        <w:t>人员名单；</w:t>
      </w:r>
    </w:p>
    <w:p>
      <w:pPr>
        <w:spacing w:line="480" w:lineRule="exact"/>
        <w:ind w:firstLine="560" w:firstLineChars="200"/>
        <w:rPr>
          <w:rFonts w:ascii="仿宋_GB2312" w:hAnsi="仿宋" w:eastAsia="仿宋_GB2312"/>
          <w:sz w:val="28"/>
        </w:rPr>
      </w:pPr>
      <w:r>
        <w:rPr>
          <w:rFonts w:hint="eastAsia" w:ascii="仿宋_GB2312" w:hAnsi="仿宋" w:eastAsia="仿宋_GB2312"/>
          <w:sz w:val="28"/>
        </w:rPr>
        <w:t>（2）</w:t>
      </w:r>
      <w:r>
        <w:rPr>
          <w:rFonts w:ascii="仿宋_GB2312" w:hAnsi="仿宋" w:eastAsia="仿宋_GB2312"/>
          <w:sz w:val="28"/>
        </w:rPr>
        <w:t>现场运行规程；</w:t>
      </w:r>
    </w:p>
    <w:p>
      <w:pPr>
        <w:spacing w:line="480" w:lineRule="exact"/>
        <w:ind w:firstLine="560" w:firstLineChars="200"/>
        <w:rPr>
          <w:rFonts w:ascii="仿宋_GB2312" w:hAnsi="仿宋" w:eastAsia="仿宋_GB2312"/>
          <w:sz w:val="28"/>
        </w:rPr>
      </w:pPr>
      <w:r>
        <w:rPr>
          <w:rFonts w:hint="eastAsia" w:ascii="仿宋_GB2312" w:hAnsi="仿宋" w:eastAsia="仿宋_GB2312"/>
          <w:sz w:val="28"/>
        </w:rPr>
        <w:t>（3）用电户号、用电户名、计量点号、结算户名、电压等级、用电性质、资源类型、资源所属地区、最大调节容量、最小调节容量等；</w:t>
      </w:r>
    </w:p>
    <w:p>
      <w:pPr>
        <w:spacing w:line="480" w:lineRule="exact"/>
        <w:ind w:firstLine="560" w:firstLineChars="200"/>
        <w:rPr>
          <w:rFonts w:ascii="仿宋_GB2312" w:hAnsi="仿宋" w:eastAsia="仿宋_GB2312"/>
          <w:sz w:val="28"/>
        </w:rPr>
      </w:pPr>
      <w:r>
        <w:rPr>
          <w:rFonts w:hint="eastAsia" w:ascii="仿宋_GB2312" w:hAnsi="仿宋" w:eastAsia="仿宋_GB2312"/>
          <w:sz w:val="28"/>
        </w:rPr>
        <w:t>（</w:t>
      </w:r>
      <w:r>
        <w:rPr>
          <w:rFonts w:ascii="仿宋_GB2312" w:hAnsi="仿宋" w:eastAsia="仿宋_GB2312"/>
          <w:sz w:val="28"/>
        </w:rPr>
        <w:t>4</w:t>
      </w:r>
      <w:r>
        <w:rPr>
          <w:rFonts w:hint="eastAsia" w:ascii="仿宋_GB2312" w:hAnsi="仿宋" w:eastAsia="仿宋_GB2312"/>
          <w:sz w:val="28"/>
        </w:rPr>
        <w:t>）</w:t>
      </w:r>
      <w:r>
        <w:rPr>
          <w:rFonts w:ascii="仿宋_GB2312" w:hAnsi="仿宋" w:eastAsia="仿宋_GB2312"/>
          <w:sz w:val="28"/>
        </w:rPr>
        <w:t>与</w:t>
      </w:r>
      <w:r>
        <w:rPr>
          <w:rFonts w:hint="eastAsia" w:ascii="仿宋_GB2312" w:hAnsi="仿宋" w:eastAsia="仿宋_GB2312"/>
          <w:sz w:val="28"/>
          <w:lang w:val="en-US" w:eastAsia="zh-CN"/>
        </w:rPr>
        <w:t>虚拟电厂</w:t>
      </w:r>
      <w:r>
        <w:rPr>
          <w:rFonts w:ascii="仿宋_GB2312" w:hAnsi="仿宋" w:eastAsia="仿宋_GB2312"/>
          <w:sz w:val="28"/>
        </w:rPr>
        <w:t>运行有关的主要设备的规范、技术参数和实测参数；</w:t>
      </w:r>
    </w:p>
    <w:p>
      <w:pPr>
        <w:spacing w:line="480" w:lineRule="exact"/>
        <w:ind w:firstLine="560" w:firstLineChars="200"/>
        <w:rPr>
          <w:rFonts w:ascii="仿宋_GB2312" w:hAnsi="仿宋" w:eastAsia="仿宋_GB2312"/>
          <w:sz w:val="28"/>
        </w:rPr>
      </w:pPr>
      <w:r>
        <w:rPr>
          <w:rFonts w:hint="eastAsia" w:ascii="仿宋_GB2312" w:hAnsi="仿宋" w:eastAsia="仿宋_GB2312"/>
          <w:sz w:val="28"/>
        </w:rPr>
        <w:t>（5）</w:t>
      </w:r>
      <w:r>
        <w:rPr>
          <w:rFonts w:ascii="仿宋_GB2312" w:hAnsi="仿宋" w:eastAsia="仿宋_GB2312"/>
          <w:sz w:val="28"/>
        </w:rPr>
        <w:t>第三方机构出具的</w:t>
      </w:r>
      <w:r>
        <w:rPr>
          <w:rFonts w:hint="eastAsia" w:ascii="仿宋_GB2312" w:hAnsi="仿宋" w:eastAsia="仿宋_GB2312"/>
          <w:sz w:val="28"/>
        </w:rPr>
        <w:t>调试</w:t>
      </w:r>
      <w:r>
        <w:rPr>
          <w:rFonts w:ascii="仿宋_GB2312" w:hAnsi="仿宋" w:eastAsia="仿宋_GB2312"/>
          <w:sz w:val="28"/>
        </w:rPr>
        <w:t>报告</w:t>
      </w:r>
      <w:r>
        <w:rPr>
          <w:rFonts w:hint="eastAsia" w:ascii="仿宋_GB2312" w:hAnsi="仿宋" w:eastAsia="仿宋_GB2312"/>
          <w:sz w:val="28"/>
        </w:rPr>
        <w:t>；</w:t>
      </w:r>
    </w:p>
    <w:p>
      <w:pPr>
        <w:spacing w:line="480" w:lineRule="exact"/>
        <w:ind w:firstLine="560" w:firstLineChars="200"/>
        <w:rPr>
          <w:rFonts w:ascii="仿宋_GB2312" w:hAnsi="仿宋" w:eastAsia="仿宋_GB2312"/>
          <w:sz w:val="28"/>
        </w:rPr>
      </w:pPr>
      <w:r>
        <w:rPr>
          <w:rFonts w:hint="eastAsia" w:ascii="仿宋_GB2312" w:hAnsi="仿宋" w:eastAsia="仿宋_GB2312"/>
          <w:sz w:val="28"/>
        </w:rPr>
        <w:t>（6）并网运行调试方案；</w:t>
      </w:r>
    </w:p>
    <w:p>
      <w:pPr>
        <w:spacing w:line="480" w:lineRule="exact"/>
        <w:ind w:firstLine="560" w:firstLineChars="200"/>
        <w:rPr>
          <w:rFonts w:ascii="仿宋_GB2312" w:hAnsi="仿宋" w:eastAsia="仿宋_GB2312"/>
          <w:sz w:val="28"/>
        </w:rPr>
      </w:pPr>
      <w:r>
        <w:rPr>
          <w:rFonts w:hint="eastAsia" w:ascii="仿宋_GB2312" w:hAnsi="仿宋" w:eastAsia="仿宋_GB2312"/>
          <w:sz w:val="28"/>
        </w:rPr>
        <w:t>（7）</w:t>
      </w:r>
      <w:r>
        <w:rPr>
          <w:rFonts w:ascii="仿宋_GB2312" w:hAnsi="仿宋" w:eastAsia="仿宋_GB2312"/>
          <w:sz w:val="28"/>
        </w:rPr>
        <w:t>与主站系统有关的自动化系统技术参数以及设备验收报告等文件。</w:t>
      </w:r>
    </w:p>
    <w:p>
      <w:pPr>
        <w:pStyle w:val="4"/>
        <w:numPr>
          <w:ilvl w:val="0"/>
          <w:numId w:val="3"/>
        </w:numPr>
      </w:pPr>
      <w:bookmarkStart w:id="17" w:name="_Toc131784634"/>
      <w:bookmarkStart w:id="18" w:name="_Toc9569"/>
      <w:bookmarkStart w:id="19" w:name="_Toc4964"/>
      <w:r>
        <w:rPr>
          <w:rFonts w:hint="eastAsia"/>
        </w:rPr>
        <w:t>接入管理</w:t>
      </w:r>
      <w:bookmarkEnd w:id="17"/>
      <w:bookmarkEnd w:id="18"/>
      <w:bookmarkEnd w:id="19"/>
    </w:p>
    <w:p>
      <w:pPr>
        <w:spacing w:line="480" w:lineRule="exact"/>
        <w:ind w:firstLine="560" w:firstLineChars="200"/>
        <w:rPr>
          <w:rFonts w:hint="eastAsia" w:ascii="仿宋_GB2312" w:hAnsi="仿宋" w:eastAsia="仿宋_GB2312"/>
          <w:sz w:val="28"/>
        </w:rPr>
      </w:pPr>
      <w:r>
        <w:rPr>
          <w:rFonts w:hint="eastAsia" w:ascii="仿宋_GB2312" w:hAnsi="仿宋" w:eastAsia="仿宋_GB2312"/>
          <w:sz w:val="28"/>
        </w:rPr>
        <w:t>本虚拟电厂运营商承诺满足虚拟电厂接入管理要求。</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满足接入</w:t>
      </w:r>
      <w:r>
        <w:rPr>
          <w:rFonts w:hint="eastAsia" w:ascii="仿宋_GB2312" w:hAnsi="仿宋_GB2312" w:eastAsia="仿宋_GB2312" w:cs="仿宋_GB2312"/>
          <w:szCs w:val="28"/>
          <w:lang w:val="en-US" w:eastAsia="zh-CN"/>
        </w:rPr>
        <w:t>管理中心</w:t>
      </w:r>
      <w:r>
        <w:rPr>
          <w:rFonts w:hint="eastAsia" w:ascii="仿宋_GB2312" w:hAnsi="仿宋_GB2312" w:eastAsia="仿宋_GB2312" w:cs="仿宋_GB2312"/>
          <w:szCs w:val="28"/>
        </w:rPr>
        <w:t>的业务技术要求，具备电量分时计量与数据传送条件，数据准确性与可靠性满足参与</w:t>
      </w:r>
      <w:r>
        <w:rPr>
          <w:rFonts w:hint="eastAsia" w:ascii="仿宋_GB2312" w:hAnsi="仿宋_GB2312" w:eastAsia="仿宋_GB2312" w:cs="仿宋_GB2312"/>
          <w:szCs w:val="28"/>
          <w:lang w:val="en-US" w:eastAsia="zh-CN"/>
        </w:rPr>
        <w:t>虚拟电厂精准响应</w:t>
      </w:r>
      <w:r>
        <w:rPr>
          <w:rFonts w:hint="eastAsia" w:ascii="仿宋_GB2312" w:hAnsi="仿宋_GB2312" w:eastAsia="仿宋_GB2312" w:cs="仿宋_GB2312"/>
          <w:szCs w:val="28"/>
        </w:rPr>
        <w:t>的具体要求。</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独立</w:t>
      </w:r>
      <w:r>
        <w:rPr>
          <w:rFonts w:hint="eastAsia" w:ascii="仿宋_GB2312" w:hAnsi="仿宋_GB2312" w:eastAsia="仿宋_GB2312" w:cs="仿宋_GB2312"/>
          <w:szCs w:val="28"/>
          <w:lang w:val="en-US" w:eastAsia="zh-CN"/>
        </w:rPr>
        <w:t>电力</w:t>
      </w:r>
      <w:r>
        <w:rPr>
          <w:rFonts w:hint="eastAsia" w:ascii="仿宋_GB2312" w:hAnsi="仿宋_GB2312" w:eastAsia="仿宋_GB2312" w:cs="仿宋_GB2312"/>
          <w:szCs w:val="28"/>
        </w:rPr>
        <w:t>用户</w:t>
      </w:r>
      <w:r>
        <w:rPr>
          <w:rFonts w:hint="eastAsia" w:ascii="仿宋_GB2312" w:hAnsi="仿宋_GB2312" w:eastAsia="仿宋_GB2312" w:cs="仿宋_GB2312"/>
          <w:szCs w:val="28"/>
          <w:lang w:val="en-US" w:eastAsia="zh-CN"/>
        </w:rPr>
        <w:t>需</w:t>
      </w:r>
      <w:r>
        <w:rPr>
          <w:rFonts w:hint="eastAsia" w:ascii="仿宋_GB2312" w:hAnsi="仿宋_GB2312" w:eastAsia="仿宋_GB2312" w:cs="仿宋_GB2312"/>
          <w:szCs w:val="28"/>
        </w:rPr>
        <w:t>提供用电信息，</w:t>
      </w:r>
      <w:r>
        <w:rPr>
          <w:rFonts w:ascii="仿宋_GB2312" w:hAnsi="仿宋_GB2312" w:eastAsia="仿宋_GB2312" w:cs="仿宋_GB2312"/>
          <w:szCs w:val="28"/>
        </w:rPr>
        <w:t>包括但不限于：用电户号、用电户名、计量点号、结算户名、电压等级、用电性质、资源类型、资源所属地区、最大</w:t>
      </w:r>
      <w:r>
        <w:rPr>
          <w:rFonts w:hint="eastAsia" w:ascii="仿宋_GB2312" w:hAnsi="仿宋_GB2312" w:eastAsia="仿宋_GB2312" w:cs="仿宋_GB2312"/>
          <w:szCs w:val="28"/>
        </w:rPr>
        <w:t>调节容量、最小调节容量</w:t>
      </w:r>
      <w:r>
        <w:rPr>
          <w:rFonts w:ascii="仿宋_GB2312" w:hAnsi="仿宋_GB2312" w:eastAsia="仿宋_GB2312" w:cs="仿宋_GB2312"/>
          <w:szCs w:val="28"/>
        </w:rPr>
        <w:t>等。</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lang w:val="en-US" w:eastAsia="zh-CN"/>
        </w:rPr>
        <w:t>负荷</w:t>
      </w:r>
      <w:r>
        <w:rPr>
          <w:rFonts w:hint="eastAsia" w:ascii="仿宋_GB2312" w:hAnsi="仿宋_GB2312" w:eastAsia="仿宋_GB2312" w:cs="仿宋_GB2312"/>
          <w:szCs w:val="28"/>
        </w:rPr>
        <w:t>聚合商</w:t>
      </w:r>
      <w:r>
        <w:rPr>
          <w:rFonts w:hint="eastAsia" w:ascii="仿宋_GB2312" w:hAnsi="仿宋_GB2312" w:eastAsia="仿宋_GB2312" w:cs="仿宋_GB2312"/>
          <w:szCs w:val="28"/>
          <w:lang w:val="en-US" w:eastAsia="zh-CN"/>
        </w:rPr>
        <w:t>需</w:t>
      </w:r>
      <w:r>
        <w:rPr>
          <w:rFonts w:hint="eastAsia" w:ascii="仿宋_GB2312" w:hAnsi="仿宋_GB2312" w:eastAsia="仿宋_GB2312" w:cs="仿宋_GB2312"/>
          <w:szCs w:val="28"/>
        </w:rPr>
        <w:t>提供所代理电力用户的信息，包括但不限于：用电户号、用电户名、计量点号、结算户名、电压等级、用电性质、资源类型、资源所属地区、最大调节容量、最小调节容量等。</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lang w:val="en-US" w:eastAsia="zh-CN"/>
        </w:rPr>
        <w:t>负荷</w:t>
      </w:r>
      <w:r>
        <w:rPr>
          <w:rFonts w:hint="eastAsia" w:ascii="仿宋_GB2312" w:hAnsi="仿宋_GB2312" w:eastAsia="仿宋_GB2312" w:cs="仿宋_GB2312"/>
          <w:szCs w:val="28"/>
        </w:rPr>
        <w:t>聚合商</w:t>
      </w:r>
      <w:r>
        <w:rPr>
          <w:rFonts w:hint="eastAsia" w:ascii="仿宋_GB2312" w:hAnsi="仿宋_GB2312" w:eastAsia="仿宋_GB2312" w:cs="仿宋_GB2312"/>
          <w:szCs w:val="28"/>
          <w:lang w:val="en-US" w:eastAsia="zh-CN"/>
        </w:rPr>
        <w:t>需</w:t>
      </w:r>
      <w:r>
        <w:rPr>
          <w:rFonts w:hint="eastAsia" w:ascii="仿宋_GB2312" w:hAnsi="仿宋_GB2312" w:eastAsia="仿宋_GB2312" w:cs="仿宋_GB2312"/>
          <w:szCs w:val="28"/>
        </w:rPr>
        <w:t>与所代理的电力用户签订代理</w:t>
      </w:r>
      <w:r>
        <w:rPr>
          <w:rFonts w:hint="eastAsia" w:ascii="仿宋_GB2312" w:hAnsi="仿宋_GB2312" w:eastAsia="仿宋_GB2312" w:cs="仿宋_GB2312"/>
          <w:szCs w:val="28"/>
          <w:lang w:val="en-US" w:eastAsia="zh-CN"/>
        </w:rPr>
        <w:t>协议</w:t>
      </w:r>
      <w:r>
        <w:rPr>
          <w:rFonts w:hint="eastAsia" w:ascii="仿宋_GB2312" w:hAnsi="仿宋_GB2312" w:eastAsia="仿宋_GB2312" w:cs="仿宋_GB2312"/>
          <w:szCs w:val="28"/>
        </w:rPr>
        <w:t>，并在</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登记备案，建立代理关系，作为代理参与相关市场及结算的执行依据</w:t>
      </w:r>
      <w:r>
        <w:rPr>
          <w:rFonts w:ascii="仿宋_GB2312" w:hAnsi="仿宋_GB2312" w:eastAsia="仿宋_GB2312" w:cs="仿宋_GB2312"/>
          <w:szCs w:val="28"/>
        </w:rPr>
        <w:t>。</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lang w:val="en-US" w:eastAsia="zh-CN"/>
        </w:rPr>
        <w:t>负荷</w:t>
      </w:r>
      <w:r>
        <w:rPr>
          <w:rFonts w:hint="eastAsia" w:ascii="仿宋_GB2312" w:hAnsi="仿宋_GB2312" w:eastAsia="仿宋_GB2312" w:cs="仿宋_GB2312"/>
          <w:szCs w:val="28"/>
        </w:rPr>
        <w:t>聚合商的代理关系发生变化时，及时向</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上报并更新其容量、最大调节容量、最小调节容量等相关数据。</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按相关技术标准和</w:t>
      </w:r>
      <w:r>
        <w:rPr>
          <w:rFonts w:hint="eastAsia" w:ascii="仿宋_GB2312" w:hAnsi="仿宋_GB2312" w:eastAsia="仿宋_GB2312" w:cs="仿宋_GB2312"/>
          <w:szCs w:val="28"/>
          <w:lang w:val="en-US" w:eastAsia="zh-CN"/>
        </w:rPr>
        <w:t>管理中心</w:t>
      </w:r>
      <w:r>
        <w:rPr>
          <w:rFonts w:hint="eastAsia" w:ascii="仿宋_GB2312" w:hAnsi="仿宋_GB2312" w:eastAsia="仿宋_GB2312" w:cs="仿宋_GB2312"/>
          <w:szCs w:val="28"/>
        </w:rPr>
        <w:t>要求制定现场运行规程，并报送</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备案。</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并网运行调试前，按相关技术标准及规程要求编制并网运行调试方案，经</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同意后进行并网运行调试。</w:t>
      </w:r>
    </w:p>
    <w:p>
      <w:pPr>
        <w:pStyle w:val="4"/>
        <w:numPr>
          <w:ilvl w:val="0"/>
          <w:numId w:val="3"/>
        </w:numPr>
      </w:pPr>
      <w:bookmarkStart w:id="20" w:name="_Toc131784635"/>
      <w:bookmarkStart w:id="21" w:name="_Toc23867"/>
      <w:bookmarkStart w:id="22" w:name="_Toc18225"/>
      <w:r>
        <w:rPr>
          <w:rFonts w:hint="eastAsia"/>
        </w:rPr>
        <w:t>运行</w:t>
      </w:r>
      <w:bookmarkEnd w:id="20"/>
      <w:bookmarkEnd w:id="21"/>
      <w:r>
        <w:rPr>
          <w:rFonts w:hint="eastAsia"/>
          <w:lang w:val="en-US" w:eastAsia="zh-CN"/>
        </w:rPr>
        <w:t>管理</w:t>
      </w:r>
      <w:bookmarkEnd w:id="22"/>
    </w:p>
    <w:p>
      <w:pPr>
        <w:spacing w:line="480" w:lineRule="exact"/>
        <w:ind w:firstLine="560" w:firstLineChars="200"/>
        <w:rPr>
          <w:rFonts w:hint="eastAsia" w:ascii="仿宋_GB2312" w:hAnsi="仿宋" w:eastAsia="仿宋_GB2312"/>
          <w:sz w:val="28"/>
        </w:rPr>
      </w:pPr>
      <w:r>
        <w:rPr>
          <w:rFonts w:hint="eastAsia" w:ascii="仿宋_GB2312" w:hAnsi="仿宋" w:eastAsia="仿宋_GB2312"/>
          <w:sz w:val="28"/>
        </w:rPr>
        <w:t>本虚拟电厂运营商承诺满足虚拟电厂运行</w:t>
      </w:r>
      <w:r>
        <w:rPr>
          <w:rFonts w:hint="eastAsia" w:ascii="仿宋_GB2312" w:hAnsi="仿宋" w:eastAsia="仿宋_GB2312"/>
          <w:sz w:val="28"/>
          <w:lang w:val="en-US" w:eastAsia="zh-CN"/>
        </w:rPr>
        <w:t>管理</w:t>
      </w:r>
      <w:r>
        <w:rPr>
          <w:rFonts w:hint="eastAsia" w:ascii="仿宋_GB2312" w:hAnsi="仿宋" w:eastAsia="仿宋_GB2312"/>
          <w:sz w:val="28"/>
        </w:rPr>
        <w:t>相关规定。</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ascii="仿宋_GB2312" w:hAnsi="仿宋_GB2312" w:eastAsia="仿宋_GB2312" w:cs="仿宋_GB2312"/>
          <w:szCs w:val="28"/>
        </w:rPr>
        <w:t>参与</w:t>
      </w:r>
      <w:r>
        <w:rPr>
          <w:rFonts w:hint="eastAsia" w:ascii="仿宋_GB2312" w:hAnsi="仿宋_GB2312" w:eastAsia="仿宋_GB2312" w:cs="仿宋_GB2312"/>
          <w:szCs w:val="28"/>
        </w:rPr>
        <w:t>深圳虚拟电厂精准响应服务</w:t>
      </w:r>
      <w:r>
        <w:rPr>
          <w:rFonts w:hint="eastAsia" w:ascii="仿宋_GB2312" w:hAnsi="仿宋_GB2312" w:eastAsia="仿宋_GB2312" w:cs="仿宋_GB2312"/>
          <w:szCs w:val="28"/>
          <w:lang w:val="en-US" w:eastAsia="zh-CN"/>
        </w:rPr>
        <w:t>时</w:t>
      </w:r>
      <w:r>
        <w:rPr>
          <w:rFonts w:ascii="仿宋_GB2312" w:hAnsi="仿宋_GB2312" w:eastAsia="仿宋_GB2312" w:cs="仿宋_GB2312"/>
          <w:szCs w:val="28"/>
        </w:rPr>
        <w:t>严格遵守国家有关法律法规、标准以及电力管理规程、电气设备运行规程等。</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ascii="仿宋_GB2312" w:hAnsi="仿宋_GB2312" w:eastAsia="仿宋_GB2312" w:cs="仿宋_GB2312"/>
          <w:szCs w:val="28"/>
        </w:rPr>
        <w:t>安全管理要求满足</w:t>
      </w:r>
      <w:r>
        <w:rPr>
          <w:rFonts w:hint="eastAsia" w:ascii="仿宋_GB2312" w:hAnsi="仿宋_GB2312" w:eastAsia="仿宋_GB2312" w:cs="仿宋_GB2312"/>
          <w:szCs w:val="28"/>
        </w:rPr>
        <w:t>“两个细则”</w:t>
      </w:r>
      <w:r>
        <w:rPr>
          <w:rFonts w:ascii="仿宋_GB2312" w:hAnsi="仿宋_GB2312" w:eastAsia="仿宋_GB2312" w:cs="仿宋_GB2312"/>
          <w:szCs w:val="28"/>
        </w:rPr>
        <w:t>相关规定。</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将电气模拟量、状态量、向上</w:t>
      </w:r>
      <w:r>
        <w:rPr>
          <w:rFonts w:ascii="仿宋_GB2312" w:hAnsi="仿宋_GB2312" w:eastAsia="仿宋_GB2312" w:cs="仿宋_GB2312"/>
          <w:szCs w:val="28"/>
        </w:rPr>
        <w:t>/</w:t>
      </w:r>
      <w:r>
        <w:rPr>
          <w:rFonts w:hint="eastAsia" w:ascii="仿宋_GB2312" w:hAnsi="仿宋_GB2312" w:eastAsia="仿宋_GB2312" w:cs="仿宋_GB2312"/>
          <w:szCs w:val="28"/>
        </w:rPr>
        <w:t>下调电力与电量、向上</w:t>
      </w:r>
      <w:r>
        <w:rPr>
          <w:rFonts w:ascii="仿宋_GB2312" w:hAnsi="仿宋_GB2312" w:eastAsia="仿宋_GB2312" w:cs="仿宋_GB2312"/>
          <w:szCs w:val="28"/>
        </w:rPr>
        <w:t>/</w:t>
      </w:r>
      <w:r>
        <w:rPr>
          <w:rFonts w:hint="eastAsia" w:ascii="仿宋_GB2312" w:hAnsi="仿宋_GB2312" w:eastAsia="仿宋_GB2312" w:cs="仿宋_GB2312"/>
          <w:szCs w:val="28"/>
        </w:rPr>
        <w:t>下调速率等运行状态信息传输至</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具备就地和</w:t>
      </w:r>
      <w:r>
        <w:rPr>
          <w:rFonts w:hint="eastAsia" w:ascii="仿宋_GB2312" w:hAnsi="仿宋_GB2312" w:eastAsia="仿宋_GB2312" w:cs="仿宋_GB2312"/>
          <w:szCs w:val="28"/>
          <w:lang w:val="en-US" w:eastAsia="zh-CN"/>
        </w:rPr>
        <w:t>远端</w:t>
      </w:r>
      <w:r>
        <w:rPr>
          <w:rFonts w:hint="eastAsia" w:ascii="仿宋_GB2312" w:hAnsi="仿宋_GB2312" w:eastAsia="仿宋_GB2312" w:cs="仿宋_GB2312"/>
          <w:szCs w:val="28"/>
        </w:rPr>
        <w:t>的实时开断控制或连续可调节功率控制</w:t>
      </w:r>
      <w:r>
        <w:rPr>
          <w:rFonts w:hint="eastAsia" w:ascii="仿宋_GB2312" w:hAnsi="仿宋_GB2312" w:eastAsia="仿宋_GB2312" w:cs="仿宋_GB2312"/>
          <w:szCs w:val="28"/>
          <w:lang w:val="en-US" w:eastAsia="zh-CN"/>
        </w:rPr>
        <w:t>功能</w:t>
      </w:r>
      <w:r>
        <w:rPr>
          <w:rFonts w:hint="eastAsia" w:ascii="仿宋_GB2312" w:hAnsi="仿宋_GB2312" w:eastAsia="仿宋_GB2312" w:cs="仿宋_GB2312"/>
          <w:szCs w:val="28"/>
        </w:rPr>
        <w:t>，符合相应的负荷调节响应速率、响应时间等要求。</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ascii="仿宋_GB2312" w:hAnsi="仿宋_GB2312" w:eastAsia="仿宋_GB2312" w:cs="仿宋_GB2312"/>
          <w:szCs w:val="28"/>
        </w:rPr>
        <w:t>按相关技术标准和要求制定现场运行规程，并报送</w:t>
      </w:r>
      <w:r>
        <w:rPr>
          <w:rFonts w:hint="eastAsia" w:ascii="仿宋_GB2312" w:hAnsi="仿宋_GB2312" w:eastAsia="仿宋_GB2312" w:cs="仿宋_GB2312"/>
          <w:szCs w:val="28"/>
          <w:lang w:eastAsia="zh-CN"/>
        </w:rPr>
        <w:t>管理中心</w:t>
      </w:r>
      <w:r>
        <w:rPr>
          <w:rFonts w:ascii="仿宋_GB2312" w:hAnsi="仿宋_GB2312" w:eastAsia="仿宋_GB2312" w:cs="仿宋_GB2312"/>
          <w:szCs w:val="28"/>
        </w:rPr>
        <w:t>备案。</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遵循深圳虚拟电厂管理办法，运行功率接受</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统一</w:t>
      </w:r>
      <w:r>
        <w:rPr>
          <w:rFonts w:hint="eastAsia" w:ascii="仿宋_GB2312" w:hAnsi="仿宋_GB2312" w:eastAsia="仿宋_GB2312" w:cs="仿宋_GB2312"/>
          <w:szCs w:val="28"/>
          <w:lang w:val="en-US" w:eastAsia="zh-CN"/>
        </w:rPr>
        <w:t>管理</w:t>
      </w:r>
      <w:r>
        <w:rPr>
          <w:rFonts w:hint="eastAsia" w:ascii="仿宋_GB2312" w:hAnsi="仿宋_GB2312" w:eastAsia="仿宋_GB2312" w:cs="仿宋_GB2312"/>
          <w:szCs w:val="28"/>
        </w:rPr>
        <w:t>。</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配备接受</w:t>
      </w:r>
      <w:r>
        <w:rPr>
          <w:rFonts w:hint="eastAsia" w:ascii="仿宋_GB2312" w:hAnsi="仿宋_GB2312" w:eastAsia="仿宋_GB2312" w:cs="仿宋_GB2312"/>
          <w:szCs w:val="28"/>
          <w:lang w:val="en-US" w:eastAsia="zh-CN"/>
        </w:rPr>
        <w:t>管理中心调节</w:t>
      </w:r>
      <w:r>
        <w:rPr>
          <w:rFonts w:hint="eastAsia" w:ascii="仿宋_GB2312" w:hAnsi="仿宋_GB2312" w:eastAsia="仿宋_GB2312" w:cs="仿宋_GB2312"/>
          <w:szCs w:val="28"/>
        </w:rPr>
        <w:t>指令的人员</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rPr>
        <w:t>在运行中迅速、准确响应</w:t>
      </w:r>
      <w:r>
        <w:rPr>
          <w:rFonts w:hint="eastAsia" w:ascii="仿宋_GB2312" w:hAnsi="仿宋_GB2312" w:eastAsia="仿宋_GB2312" w:cs="仿宋_GB2312"/>
          <w:szCs w:val="28"/>
          <w:lang w:val="en-US" w:eastAsia="zh-CN"/>
        </w:rPr>
        <w:t>管理中心</w:t>
      </w:r>
      <w:r>
        <w:rPr>
          <w:rFonts w:hint="eastAsia" w:ascii="仿宋_GB2312" w:hAnsi="仿宋_GB2312" w:eastAsia="仿宋_GB2312" w:cs="仿宋_GB2312"/>
          <w:szCs w:val="28"/>
        </w:rPr>
        <w:t>的</w:t>
      </w:r>
      <w:r>
        <w:rPr>
          <w:rFonts w:hint="eastAsia" w:ascii="仿宋_GB2312" w:hAnsi="仿宋_GB2312" w:eastAsia="仿宋_GB2312" w:cs="仿宋_GB2312"/>
          <w:szCs w:val="28"/>
          <w:lang w:val="en-US" w:eastAsia="zh-CN"/>
        </w:rPr>
        <w:t>调节</w:t>
      </w:r>
      <w:r>
        <w:rPr>
          <w:rFonts w:hint="eastAsia" w:ascii="仿宋_GB2312" w:hAnsi="仿宋_GB2312" w:eastAsia="仿宋_GB2312" w:cs="仿宋_GB2312"/>
          <w:szCs w:val="28"/>
        </w:rPr>
        <w:t>指令，不得以任何借口拒绝或者拖延执行。熟悉业务流程，如实告知现场情况，回答</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的询问。</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ascii="仿宋_GB2312" w:hAnsi="仿宋_GB2312" w:eastAsia="仿宋_GB2312" w:cs="仿宋_GB2312"/>
          <w:szCs w:val="28"/>
        </w:rPr>
        <w:t>若执行</w:t>
      </w:r>
      <w:r>
        <w:rPr>
          <w:rFonts w:hint="eastAsia" w:ascii="仿宋_GB2312" w:hAnsi="仿宋_GB2312" w:eastAsia="仿宋_GB2312" w:cs="仿宋_GB2312"/>
          <w:szCs w:val="28"/>
          <w:lang w:val="en-US" w:eastAsia="zh-CN"/>
        </w:rPr>
        <w:t>精准响应</w:t>
      </w:r>
      <w:r>
        <w:rPr>
          <w:rFonts w:ascii="仿宋_GB2312" w:hAnsi="仿宋_GB2312" w:eastAsia="仿宋_GB2312" w:cs="仿宋_GB2312"/>
          <w:szCs w:val="28"/>
        </w:rPr>
        <w:t>指令可能危及人身和设备安全时，</w:t>
      </w:r>
      <w:r>
        <w:rPr>
          <w:rFonts w:hint="eastAsia" w:ascii="仿宋_GB2312" w:hAnsi="仿宋_GB2312" w:eastAsia="仿宋_GB2312" w:cs="仿宋_GB2312"/>
          <w:szCs w:val="28"/>
        </w:rPr>
        <w:t>虚拟电厂运营商</w:t>
      </w:r>
      <w:r>
        <w:rPr>
          <w:rFonts w:hint="eastAsia" w:ascii="仿宋_GB2312" w:hAnsi="仿宋_GB2312" w:eastAsia="仿宋_GB2312" w:cs="仿宋_GB2312"/>
          <w:szCs w:val="28"/>
          <w:lang w:val="en-US" w:eastAsia="zh-CN"/>
        </w:rPr>
        <w:t>相关</w:t>
      </w:r>
      <w:r>
        <w:rPr>
          <w:rFonts w:ascii="仿宋_GB2312" w:hAnsi="仿宋_GB2312" w:eastAsia="仿宋_GB2312" w:cs="仿宋_GB2312"/>
          <w:szCs w:val="28"/>
        </w:rPr>
        <w:t>人员立即向</w:t>
      </w:r>
      <w:r>
        <w:rPr>
          <w:rFonts w:hint="eastAsia" w:ascii="仿宋_GB2312" w:hAnsi="仿宋_GB2312" w:eastAsia="仿宋_GB2312" w:cs="仿宋_GB2312"/>
          <w:szCs w:val="28"/>
          <w:lang w:eastAsia="zh-CN"/>
        </w:rPr>
        <w:t>管理中心</w:t>
      </w:r>
      <w:r>
        <w:rPr>
          <w:rFonts w:ascii="仿宋_GB2312" w:hAnsi="仿宋_GB2312" w:eastAsia="仿宋_GB2312" w:cs="仿宋_GB2312"/>
          <w:szCs w:val="28"/>
        </w:rPr>
        <w:t>报告并说明理由，由</w:t>
      </w:r>
      <w:r>
        <w:rPr>
          <w:rFonts w:hint="eastAsia" w:ascii="仿宋_GB2312" w:hAnsi="仿宋_GB2312" w:eastAsia="仿宋_GB2312" w:cs="仿宋_GB2312"/>
          <w:szCs w:val="28"/>
          <w:lang w:eastAsia="zh-CN"/>
        </w:rPr>
        <w:t>管理中心</w:t>
      </w:r>
      <w:r>
        <w:rPr>
          <w:rFonts w:ascii="仿宋_GB2312" w:hAnsi="仿宋_GB2312" w:eastAsia="仿宋_GB2312" w:cs="仿宋_GB2312"/>
          <w:szCs w:val="28"/>
        </w:rPr>
        <w:t>决定是否继续执行</w:t>
      </w:r>
      <w:r>
        <w:rPr>
          <w:rFonts w:hint="eastAsia" w:ascii="仿宋_GB2312" w:hAnsi="仿宋_GB2312" w:eastAsia="仿宋_GB2312" w:cs="仿宋_GB2312"/>
          <w:szCs w:val="28"/>
        </w:rPr>
        <w:t>。</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因设备、系统更新改造等原因出现特殊运行方式，可能影响</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虚拟电厂精准响应实施的，将更改方案提前</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 xml:space="preserve">3 </w:t>
      </w:r>
      <w:r>
        <w:rPr>
          <w:rFonts w:hint="eastAsia" w:ascii="仿宋_GB2312" w:hAnsi="仿宋_GB2312" w:eastAsia="仿宋_GB2312" w:cs="仿宋_GB2312"/>
          <w:szCs w:val="28"/>
        </w:rPr>
        <w:t>日通知</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，并按商定的方案执行。</w:t>
      </w:r>
    </w:p>
    <w:p>
      <w:pPr>
        <w:pStyle w:val="5"/>
        <w:keepNext w:val="0"/>
        <w:numPr>
          <w:ilvl w:val="1"/>
          <w:numId w:val="4"/>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以书面形式</w:t>
      </w:r>
      <w:r>
        <w:rPr>
          <w:rFonts w:hint="eastAsia" w:ascii="仿宋_GB2312" w:hAnsi="仿宋_GB2312" w:eastAsia="仿宋_GB2312" w:cs="仿宋_GB2312"/>
          <w:szCs w:val="28"/>
          <w:lang w:val="en-US" w:eastAsia="zh-CN"/>
        </w:rPr>
        <w:t>及时向</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lang w:val="en-US" w:eastAsia="zh-CN"/>
        </w:rPr>
        <w:t>上报</w:t>
      </w:r>
      <w:r>
        <w:rPr>
          <w:rFonts w:hint="eastAsia" w:ascii="仿宋_GB2312" w:hAnsi="仿宋_GB2312" w:eastAsia="仿宋_GB2312" w:cs="仿宋_GB2312"/>
          <w:szCs w:val="28"/>
        </w:rPr>
        <w:t>相关人员名单，并及时告知变动情况。提供的信息包括</w:t>
      </w:r>
      <w:r>
        <w:rPr>
          <w:rFonts w:hint="eastAsia" w:ascii="仿宋_GB2312" w:hAnsi="仿宋_GB2312" w:eastAsia="仿宋_GB2312" w:cs="仿宋_GB2312"/>
          <w:szCs w:val="28"/>
          <w:lang w:val="en-US" w:eastAsia="zh-CN"/>
        </w:rPr>
        <w:t>单位</w:t>
      </w:r>
      <w:r>
        <w:rPr>
          <w:rFonts w:hint="eastAsia" w:ascii="仿宋_GB2312" w:hAnsi="仿宋_GB2312" w:eastAsia="仿宋_GB2312" w:cs="仿宋_GB2312"/>
          <w:szCs w:val="28"/>
        </w:rPr>
        <w:t>、职务、姓名、身份证号码、办公电话、手机等。</w:t>
      </w:r>
    </w:p>
    <w:p>
      <w:pPr>
        <w:pStyle w:val="5"/>
        <w:keepNext w:val="0"/>
        <w:numPr>
          <w:ilvl w:val="1"/>
          <w:numId w:val="4"/>
        </w:numPr>
        <w:spacing w:before="0" w:after="0" w:line="480" w:lineRule="exact"/>
        <w:ind w:left="7" w:firstLine="528"/>
        <w:rPr>
          <w:rFonts w:ascii="仿宋_GB2312" w:hAnsi="仿宋_GB2312" w:eastAsia="仿宋_GB2312" w:cs="仿宋_GB2312"/>
        </w:rPr>
      </w:pPr>
      <w:r>
        <w:rPr>
          <w:rFonts w:hint="eastAsia" w:ascii="仿宋_GB2312" w:hAnsi="仿宋_GB2312" w:eastAsia="仿宋_GB2312" w:cs="仿宋_GB2312"/>
          <w:szCs w:val="28"/>
        </w:rPr>
        <w:t>当</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发现</w:t>
      </w:r>
      <w:r>
        <w:rPr>
          <w:rFonts w:hint="eastAsia" w:ascii="仿宋_GB2312" w:hAnsi="仿宋_GB2312" w:eastAsia="仿宋_GB2312" w:cs="仿宋_GB2312"/>
          <w:szCs w:val="28"/>
          <w:lang w:val="en-US" w:eastAsia="zh-CN"/>
        </w:rPr>
        <w:t>本</w:t>
      </w:r>
      <w:r>
        <w:rPr>
          <w:rFonts w:hint="eastAsia" w:ascii="仿宋_GB2312" w:hAnsi="仿宋_GB2312" w:eastAsia="仿宋_GB2312" w:cs="仿宋_GB2312"/>
          <w:szCs w:val="28"/>
        </w:rPr>
        <w:t>虚拟电厂运营商存在影响电网安全运行的，</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有权依照相关规定和程序暂停其</w:t>
      </w:r>
      <w:r>
        <w:rPr>
          <w:rFonts w:hint="eastAsia" w:ascii="仿宋_GB2312" w:hAnsi="仿宋_GB2312" w:eastAsia="仿宋_GB2312" w:cs="仿宋_GB2312"/>
          <w:szCs w:val="28"/>
          <w:lang w:val="en-US" w:eastAsia="zh-CN"/>
        </w:rPr>
        <w:t>参与虚拟电厂精准响应</w:t>
      </w:r>
      <w:r>
        <w:rPr>
          <w:rFonts w:hint="eastAsia" w:ascii="仿宋_GB2312" w:hAnsi="仿宋_GB2312" w:eastAsia="仿宋_GB2312" w:cs="仿宋_GB2312"/>
          <w:szCs w:val="28"/>
        </w:rPr>
        <w:t>。</w:t>
      </w:r>
    </w:p>
    <w:p>
      <w:pPr>
        <w:pStyle w:val="4"/>
        <w:numPr>
          <w:ilvl w:val="0"/>
          <w:numId w:val="3"/>
        </w:numPr>
      </w:pPr>
      <w:bookmarkStart w:id="23" w:name="_Toc131784636"/>
      <w:bookmarkStart w:id="24" w:name="_Toc5579"/>
      <w:bookmarkStart w:id="25" w:name="_Toc12541"/>
      <w:r>
        <w:rPr>
          <w:rFonts w:hint="eastAsia"/>
        </w:rPr>
        <w:t>调节性能测试</w:t>
      </w:r>
      <w:bookmarkEnd w:id="23"/>
      <w:bookmarkEnd w:id="24"/>
      <w:r>
        <w:rPr>
          <w:rFonts w:hint="eastAsia"/>
        </w:rPr>
        <w:t xml:space="preserve"> </w:t>
      </w:r>
      <w:bookmarkEnd w:id="25"/>
      <w:r>
        <w:rPr>
          <w:rFonts w:hint="eastAsia"/>
        </w:rPr>
        <w:t xml:space="preserve">  </w:t>
      </w:r>
    </w:p>
    <w:p>
      <w:pPr>
        <w:spacing w:line="480" w:lineRule="exact"/>
        <w:ind w:firstLine="560" w:firstLineChars="200"/>
        <w:rPr>
          <w:rFonts w:hint="eastAsia" w:ascii="仿宋_GB2312" w:hAnsi="仿宋" w:eastAsia="仿宋_GB2312"/>
          <w:sz w:val="28"/>
        </w:rPr>
      </w:pPr>
      <w:r>
        <w:rPr>
          <w:rFonts w:hint="eastAsia" w:ascii="仿宋_GB2312" w:hAnsi="仿宋" w:eastAsia="仿宋_GB2312"/>
          <w:sz w:val="28"/>
        </w:rPr>
        <w:t>本虚拟电厂运营商承诺已完成虚拟电厂调节性能测试。</w:t>
      </w:r>
    </w:p>
    <w:p>
      <w:pPr>
        <w:pStyle w:val="5"/>
        <w:keepNext w:val="0"/>
        <w:numPr>
          <w:ilvl w:val="1"/>
          <w:numId w:val="4"/>
        </w:numPr>
        <w:spacing w:before="0" w:after="0" w:line="480" w:lineRule="exact"/>
        <w:ind w:left="7" w:firstLine="528"/>
        <w:rPr>
          <w:rFonts w:ascii="仿宋_GB2312" w:hAnsi="仿宋_GB2312" w:eastAsia="仿宋_GB2312" w:cs="仿宋_GB2312"/>
          <w:bCs/>
          <w:kern w:val="44"/>
          <w:szCs w:val="28"/>
        </w:rPr>
      </w:pPr>
      <w:r>
        <w:rPr>
          <w:rFonts w:hint="eastAsia" w:ascii="仿宋_GB2312" w:hAnsi="仿宋_GB2312" w:eastAsia="仿宋_GB2312" w:cs="仿宋_GB2312"/>
          <w:bCs/>
          <w:kern w:val="44"/>
          <w:szCs w:val="28"/>
        </w:rPr>
        <w:t>虚拟电厂精准响应调节性能指标包括但不限于调节速率、调节范围、响应时间和调节精度。</w:t>
      </w:r>
      <w:r>
        <w:rPr>
          <w:rFonts w:hint="eastAsia" w:ascii="仿宋_GB2312" w:hAnsi="仿宋_GB2312" w:eastAsia="仿宋_GB2312" w:cs="仿宋_GB2312"/>
          <w:bCs/>
          <w:kern w:val="44"/>
          <w:szCs w:val="28"/>
          <w:lang w:val="en-US" w:eastAsia="zh-CN"/>
        </w:rPr>
        <w:t>将</w:t>
      </w:r>
      <w:r>
        <w:rPr>
          <w:rFonts w:hint="eastAsia" w:ascii="仿宋_GB2312" w:hAnsi="仿宋_GB2312" w:eastAsia="仿宋_GB2312" w:cs="仿宋_GB2312"/>
          <w:bCs/>
          <w:kern w:val="44"/>
          <w:szCs w:val="28"/>
        </w:rPr>
        <w:t>根据自身响应能力及虚拟电厂精准响应调节性能指标要求，参与虚拟电厂精准响应服务。</w:t>
      </w:r>
    </w:p>
    <w:p>
      <w:pPr>
        <w:pStyle w:val="5"/>
        <w:keepNext w:val="0"/>
        <w:numPr>
          <w:ilvl w:val="1"/>
          <w:numId w:val="4"/>
        </w:numPr>
        <w:spacing w:before="0" w:after="0" w:line="480" w:lineRule="exact"/>
        <w:ind w:left="7" w:firstLine="528"/>
        <w:rPr>
          <w:rFonts w:ascii="仿宋_GB2312" w:hAnsi="仿宋_GB2312" w:eastAsia="仿宋_GB2312" w:cs="仿宋_GB2312"/>
          <w:bCs/>
          <w:kern w:val="44"/>
          <w:szCs w:val="28"/>
        </w:rPr>
      </w:pPr>
      <w:r>
        <w:rPr>
          <w:rFonts w:hint="eastAsia" w:ascii="仿宋_GB2312" w:hAnsi="仿宋_GB2312" w:eastAsia="仿宋_GB2312" w:cs="仿宋_GB2312"/>
          <w:bCs/>
          <w:kern w:val="44"/>
          <w:szCs w:val="28"/>
        </w:rPr>
        <w:t>并网运行前，按相关技术标准及规程要求完成并网运行测试和调节性能指标测试，凭具备电力工程甲级资质的检测机构开具的检测报告申请正式并网运行，定期接收</w:t>
      </w:r>
      <w:r>
        <w:rPr>
          <w:rFonts w:hint="eastAsia" w:ascii="仿宋_GB2312" w:hAnsi="仿宋_GB2312" w:eastAsia="仿宋_GB2312" w:cs="仿宋_GB2312"/>
          <w:bCs/>
          <w:kern w:val="44"/>
          <w:szCs w:val="28"/>
          <w:lang w:eastAsia="zh-CN"/>
        </w:rPr>
        <w:t>管理中心</w:t>
      </w:r>
      <w:r>
        <w:rPr>
          <w:rFonts w:hint="eastAsia" w:ascii="仿宋_GB2312" w:hAnsi="仿宋_GB2312" w:eastAsia="仿宋_GB2312" w:cs="仿宋_GB2312"/>
          <w:bCs/>
          <w:kern w:val="44"/>
          <w:szCs w:val="28"/>
        </w:rPr>
        <w:t>的调节性能指标复核和检查，确保性能指标和申报调节能力真实有效。</w:t>
      </w:r>
    </w:p>
    <w:p>
      <w:pPr>
        <w:pStyle w:val="4"/>
        <w:numPr>
          <w:ilvl w:val="0"/>
          <w:numId w:val="3"/>
        </w:numPr>
      </w:pPr>
      <w:bookmarkStart w:id="26" w:name="_Toc131784637"/>
      <w:bookmarkStart w:id="27" w:name="_Toc26361"/>
      <w:bookmarkStart w:id="28" w:name="_Toc21614"/>
      <w:r>
        <w:rPr>
          <w:rFonts w:hint="eastAsia"/>
        </w:rPr>
        <w:t>自动化</w:t>
      </w:r>
      <w:bookmarkEnd w:id="26"/>
      <w:bookmarkEnd w:id="27"/>
      <w:r>
        <w:rPr>
          <w:rFonts w:hint="eastAsia"/>
          <w:lang w:val="en-US" w:eastAsia="zh-CN"/>
        </w:rPr>
        <w:t>管理</w:t>
      </w:r>
      <w:bookmarkEnd w:id="28"/>
    </w:p>
    <w:p>
      <w:pPr>
        <w:spacing w:line="480" w:lineRule="exact"/>
        <w:ind w:firstLine="560" w:firstLineChars="200"/>
        <w:rPr>
          <w:rFonts w:ascii="仿宋_GB2312" w:hAnsi="仿宋" w:eastAsia="仿宋_GB2312"/>
          <w:sz w:val="28"/>
        </w:rPr>
      </w:pPr>
      <w:r>
        <w:rPr>
          <w:rFonts w:hint="eastAsia" w:ascii="仿宋_GB2312" w:hAnsi="仿宋" w:eastAsia="仿宋_GB2312"/>
          <w:sz w:val="28"/>
        </w:rPr>
        <w:t>本虚拟电厂运营商承诺满足虚拟电厂自动化要求。</w:t>
      </w:r>
      <w:r>
        <w:rPr>
          <w:rFonts w:hint="eastAsia"/>
        </w:rPr>
        <w:t xml:space="preserve"> </w:t>
      </w:r>
    </w:p>
    <w:p>
      <w:pPr>
        <w:pStyle w:val="5"/>
        <w:keepNext w:val="0"/>
        <w:keepLines w:val="0"/>
        <w:numPr>
          <w:ilvl w:val="1"/>
          <w:numId w:val="5"/>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严格遵守有关</w:t>
      </w:r>
      <w:r>
        <w:rPr>
          <w:rFonts w:hint="eastAsia" w:ascii="仿宋_GB2312" w:hAnsi="仿宋_GB2312" w:eastAsia="仿宋_GB2312" w:cs="仿宋_GB2312"/>
          <w:szCs w:val="28"/>
          <w:lang w:val="en-US" w:eastAsia="zh-CN"/>
        </w:rPr>
        <w:t>电力</w:t>
      </w:r>
      <w:r>
        <w:rPr>
          <w:rFonts w:hint="eastAsia" w:ascii="仿宋_GB2312" w:hAnsi="仿宋_GB2312" w:eastAsia="仿宋_GB2312" w:cs="仿宋_GB2312"/>
          <w:szCs w:val="28"/>
        </w:rPr>
        <w:t xml:space="preserve">自动化系统的设计、运行和管理规程、 规范，负责虚拟电厂运营商系统的运行维护，并符合以下要求： </w:t>
      </w:r>
    </w:p>
    <w:p>
      <w:pPr>
        <w:pStyle w:val="6"/>
        <w:keepNext w:val="0"/>
        <w:keepLines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计算机监控、自动功率控制和电能计量数据按照符合国家标准或行业标准的传输规约传送至</w:t>
      </w:r>
      <w:r>
        <w:rPr>
          <w:rFonts w:hint="eastAsia" w:ascii="仿宋_GB2312" w:hAnsi="仿宋_GB2312" w:eastAsia="仿宋_GB2312" w:cs="仿宋_GB2312"/>
          <w:szCs w:val="28"/>
          <w:lang w:eastAsia="zh-CN"/>
        </w:rPr>
        <w:t>虚拟电厂管理云平台</w:t>
      </w:r>
      <w:r>
        <w:rPr>
          <w:rFonts w:hint="eastAsia" w:ascii="仿宋_GB2312" w:hAnsi="仿宋_GB2312" w:eastAsia="仿宋_GB2312" w:cs="仿宋_GB2312"/>
          <w:szCs w:val="28"/>
        </w:rPr>
        <w:t>。虚拟电厂运行设备实时信息的数量和精度满足国家有关规定和</w:t>
      </w:r>
      <w:r>
        <w:rPr>
          <w:rFonts w:hint="eastAsia" w:ascii="仿宋_GB2312" w:hAnsi="仿宋_GB2312" w:eastAsia="仿宋_GB2312" w:cs="仿宋_GB2312"/>
          <w:szCs w:val="28"/>
          <w:lang w:val="en-US" w:eastAsia="zh-CN"/>
        </w:rPr>
        <w:t>管理中心</w:t>
      </w:r>
      <w:r>
        <w:rPr>
          <w:rFonts w:hint="eastAsia" w:ascii="仿宋_GB2312" w:hAnsi="仿宋_GB2312" w:eastAsia="仿宋_GB2312" w:cs="仿宋_GB2312"/>
          <w:szCs w:val="28"/>
        </w:rPr>
        <w:t xml:space="preserve">的运行要求。 </w:t>
      </w:r>
    </w:p>
    <w:p>
      <w:pPr>
        <w:pStyle w:val="6"/>
        <w:keepNext w:val="0"/>
        <w:keepLines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 xml:space="preserve">按照相关运行检修规程对所属系统及设备进行检修维护，使其满足设计的系统及装置技术要求，并保存完整的调试报告和记录。 </w:t>
      </w:r>
    </w:p>
    <w:p>
      <w:pPr>
        <w:pStyle w:val="6"/>
        <w:keepNext w:val="0"/>
        <w:keepLines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协助</w:t>
      </w:r>
      <w:r>
        <w:rPr>
          <w:rFonts w:hint="eastAsia" w:ascii="仿宋_GB2312" w:hAnsi="仿宋_GB2312" w:eastAsia="仿宋_GB2312" w:cs="仿宋_GB2312"/>
          <w:szCs w:val="28"/>
          <w:lang w:eastAsia="zh-CN"/>
        </w:rPr>
        <w:t>虚拟电厂管理云平台</w:t>
      </w:r>
      <w:r>
        <w:rPr>
          <w:rFonts w:hint="eastAsia" w:ascii="仿宋_GB2312" w:hAnsi="仿宋_GB2312" w:eastAsia="仿宋_GB2312" w:cs="仿宋_GB2312"/>
          <w:szCs w:val="28"/>
        </w:rPr>
        <w:t>的运行维护工作，配合</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 xml:space="preserve">进行事故调查。 </w:t>
      </w:r>
    </w:p>
    <w:p>
      <w:pPr>
        <w:pStyle w:val="6"/>
        <w:keepNext w:val="0"/>
        <w:keepLines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保证虚拟电厂稳定运行，且符合并网技术要求，能够准确接收并执行</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 xml:space="preserve">下发的指令信号。 </w:t>
      </w:r>
    </w:p>
    <w:p>
      <w:pPr>
        <w:pStyle w:val="6"/>
        <w:keepNext w:val="0"/>
        <w:keepLines w:val="0"/>
        <w:numPr>
          <w:ilvl w:val="2"/>
          <w:numId w:val="3"/>
        </w:numPr>
        <w:spacing w:before="0" w:after="0" w:line="480" w:lineRule="exact"/>
        <w:ind w:left="9" w:firstLine="551"/>
        <w:rPr>
          <w:rFonts w:ascii="仿宋_GB2312" w:hAnsi="仿宋_GB2312" w:eastAsia="仿宋_GB2312" w:cs="仿宋_GB2312"/>
          <w:szCs w:val="28"/>
        </w:rPr>
      </w:pPr>
      <w:r>
        <w:rPr>
          <w:rFonts w:hint="eastAsia" w:ascii="仿宋_GB2312" w:hAnsi="仿宋_GB2312" w:eastAsia="仿宋_GB2312" w:cs="仿宋_GB2312"/>
          <w:szCs w:val="28"/>
        </w:rPr>
        <w:t>能够向</w:t>
      </w:r>
      <w:r>
        <w:rPr>
          <w:rFonts w:hint="eastAsia" w:ascii="仿宋_GB2312" w:hAnsi="仿宋_GB2312" w:eastAsia="仿宋_GB2312" w:cs="仿宋_GB2312"/>
          <w:szCs w:val="28"/>
          <w:lang w:eastAsia="zh-CN"/>
        </w:rPr>
        <w:t>虚拟电厂管理云平台</w:t>
      </w:r>
      <w:r>
        <w:rPr>
          <w:rFonts w:hint="eastAsia" w:ascii="仿宋_GB2312" w:hAnsi="仿宋_GB2312" w:eastAsia="仿宋_GB2312" w:cs="仿宋_GB2312"/>
          <w:szCs w:val="28"/>
        </w:rPr>
        <w:t>提供：虚拟电厂的有功、无功功率、电量、频率、受控状态；代理可调节资源的有功、无功功率、电量、频率、可调状态以及开关、母线、线路的相关信号。虚拟电厂运营商系统通过有线/无线方式接入</w:t>
      </w:r>
      <w:r>
        <w:rPr>
          <w:rFonts w:hint="eastAsia" w:ascii="仿宋_GB2312" w:hAnsi="仿宋_GB2312" w:eastAsia="仿宋_GB2312" w:cs="仿宋_GB2312"/>
          <w:szCs w:val="28"/>
          <w:lang w:eastAsia="zh-CN"/>
        </w:rPr>
        <w:t>虚拟电厂管理云平台</w:t>
      </w:r>
      <w:r>
        <w:rPr>
          <w:rFonts w:hint="eastAsia" w:ascii="仿宋_GB2312" w:hAnsi="仿宋_GB2312" w:eastAsia="仿宋_GB2312" w:cs="仿宋_GB2312"/>
          <w:szCs w:val="28"/>
        </w:rPr>
        <w:t xml:space="preserve">。 </w:t>
      </w:r>
    </w:p>
    <w:p>
      <w:pPr>
        <w:pStyle w:val="5"/>
        <w:keepNext w:val="0"/>
        <w:keepLines w:val="0"/>
        <w:numPr>
          <w:ilvl w:val="1"/>
          <w:numId w:val="5"/>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 xml:space="preserve">遵守电力自动化系统有关规程，运行维护自动化设备，不得随意退出或停用。 </w:t>
      </w:r>
    </w:p>
    <w:p>
      <w:pPr>
        <w:pStyle w:val="5"/>
        <w:keepNext w:val="0"/>
        <w:keepLines w:val="0"/>
        <w:numPr>
          <w:ilvl w:val="1"/>
          <w:numId w:val="5"/>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 xml:space="preserve">系统和电量采集与传输装置达到如下主要运行指标： </w:t>
      </w:r>
    </w:p>
    <w:p>
      <w:pPr>
        <w:spacing w:line="480" w:lineRule="exact"/>
        <w:ind w:left="420" w:firstLine="413"/>
        <w:rPr>
          <w:rFonts w:ascii="仿宋_GB2312" w:eastAsia="仿宋_GB2312"/>
          <w:sz w:val="28"/>
        </w:rPr>
      </w:pPr>
      <w:r>
        <w:rPr>
          <w:rFonts w:hint="eastAsia" w:ascii="仿宋_GB2312" w:eastAsia="仿宋_GB2312"/>
          <w:sz w:val="28"/>
        </w:rPr>
        <w:t xml:space="preserve">（1）系统可用率（月）≥ 99 %。 </w:t>
      </w:r>
    </w:p>
    <w:p>
      <w:pPr>
        <w:spacing w:line="480" w:lineRule="exact"/>
        <w:ind w:left="420" w:firstLine="413"/>
        <w:rPr>
          <w:rFonts w:ascii="仿宋_GB2312" w:eastAsia="仿宋_GB2312"/>
          <w:sz w:val="28"/>
        </w:rPr>
      </w:pPr>
      <w:r>
        <w:rPr>
          <w:rFonts w:hint="eastAsia" w:ascii="仿宋_GB2312" w:eastAsia="仿宋_GB2312"/>
          <w:sz w:val="28"/>
        </w:rPr>
        <w:t>（2）遥测综合误差≤</w:t>
      </w:r>
      <w:r>
        <w:rPr>
          <w:rFonts w:hint="eastAsia" w:ascii="仿宋_GB2312" w:eastAsia="仿宋_GB2312"/>
          <w:sz w:val="28"/>
          <w:u w:val="single"/>
        </w:rPr>
        <w:t xml:space="preserve">  </w:t>
      </w:r>
      <w:r>
        <w:rPr>
          <w:rFonts w:ascii="仿宋_GB2312" w:eastAsia="仿宋_GB2312"/>
          <w:sz w:val="28"/>
          <w:u w:val="single"/>
        </w:rPr>
        <w:t>1</w:t>
      </w:r>
      <w:r>
        <w:rPr>
          <w:rFonts w:hint="eastAsia" w:ascii="仿宋_GB2312" w:eastAsia="仿宋_GB2312"/>
          <w:sz w:val="28"/>
          <w:u w:val="single"/>
        </w:rPr>
        <w:t xml:space="preserve"> </w:t>
      </w:r>
      <w:r>
        <w:rPr>
          <w:rFonts w:hint="eastAsia" w:ascii="仿宋_GB2312" w:eastAsia="仿宋_GB2312"/>
          <w:sz w:val="28"/>
        </w:rPr>
        <w:t xml:space="preserve"> %。 </w:t>
      </w:r>
    </w:p>
    <w:p>
      <w:pPr>
        <w:spacing w:line="480" w:lineRule="exact"/>
        <w:ind w:left="420" w:firstLine="413"/>
        <w:rPr>
          <w:rFonts w:ascii="仿宋_GB2312" w:eastAsia="仿宋_GB2312"/>
          <w:sz w:val="28"/>
        </w:rPr>
      </w:pPr>
      <w:r>
        <w:rPr>
          <w:rFonts w:hint="eastAsia" w:ascii="仿宋_GB2312" w:eastAsia="仿宋_GB2312"/>
          <w:sz w:val="28"/>
        </w:rPr>
        <w:t>（3）遥测变位至主站时间≤</w:t>
      </w:r>
      <w:r>
        <w:rPr>
          <w:rFonts w:hint="eastAsia" w:ascii="仿宋_GB2312" w:eastAsia="仿宋_GB2312"/>
          <w:sz w:val="28"/>
          <w:u w:val="single"/>
        </w:rPr>
        <w:t xml:space="preserve">  30 </w:t>
      </w:r>
      <w:r>
        <w:rPr>
          <w:rFonts w:hint="eastAsia" w:ascii="仿宋_GB2312" w:eastAsia="仿宋_GB2312"/>
          <w:sz w:val="28"/>
        </w:rPr>
        <w:t xml:space="preserve"> 秒。 </w:t>
      </w:r>
    </w:p>
    <w:p>
      <w:pPr>
        <w:spacing w:line="480" w:lineRule="exact"/>
        <w:ind w:left="420" w:firstLine="413"/>
        <w:rPr>
          <w:rFonts w:ascii="仿宋_GB2312" w:eastAsia="仿宋_GB2312"/>
          <w:sz w:val="28"/>
        </w:rPr>
      </w:pPr>
      <w:r>
        <w:rPr>
          <w:rFonts w:hint="eastAsia" w:ascii="仿宋_GB2312" w:eastAsia="仿宋_GB2312"/>
          <w:sz w:val="28"/>
        </w:rPr>
        <w:t>（4）遥信变位至主站时间≤</w:t>
      </w:r>
      <w:r>
        <w:rPr>
          <w:rFonts w:hint="eastAsia" w:ascii="仿宋_GB2312" w:eastAsia="仿宋_GB2312"/>
          <w:sz w:val="28"/>
          <w:u w:val="single"/>
        </w:rPr>
        <w:t xml:space="preserve">  5 </w:t>
      </w:r>
      <w:r>
        <w:rPr>
          <w:rFonts w:hint="eastAsia" w:ascii="仿宋_GB2312" w:eastAsia="仿宋_GB2312"/>
          <w:sz w:val="28"/>
        </w:rPr>
        <w:t xml:space="preserve"> 秒。 </w:t>
      </w:r>
    </w:p>
    <w:p>
      <w:pPr>
        <w:spacing w:line="480" w:lineRule="exact"/>
        <w:ind w:left="420" w:firstLine="413"/>
        <w:rPr>
          <w:rFonts w:ascii="仿宋_GB2312" w:eastAsia="仿宋_GB2312"/>
          <w:sz w:val="28"/>
        </w:rPr>
      </w:pPr>
      <w:r>
        <w:rPr>
          <w:rFonts w:hint="eastAsia" w:ascii="仿宋_GB2312" w:eastAsia="仿宋_GB2312"/>
          <w:sz w:val="28"/>
        </w:rPr>
        <w:t>（5）双方约定的其他运行指标：</w:t>
      </w:r>
      <w:r>
        <w:rPr>
          <w:rFonts w:hint="eastAsia" w:ascii="仿宋_GB2312" w:eastAsia="仿宋_GB2312"/>
          <w:sz w:val="28"/>
          <w:u w:val="single"/>
        </w:rPr>
        <w:t xml:space="preserve">     </w:t>
      </w:r>
      <w:r>
        <w:rPr>
          <w:rFonts w:hint="eastAsia" w:ascii="仿宋_GB2312" w:eastAsia="仿宋_GB2312"/>
          <w:sz w:val="28"/>
        </w:rPr>
        <w:t xml:space="preserve"> 。 </w:t>
      </w:r>
    </w:p>
    <w:p>
      <w:pPr>
        <w:pStyle w:val="5"/>
        <w:keepNext w:val="0"/>
        <w:numPr>
          <w:ilvl w:val="1"/>
          <w:numId w:val="5"/>
        </w:numPr>
        <w:spacing w:before="0" w:after="0" w:line="480" w:lineRule="exact"/>
        <w:ind w:left="7" w:firstLine="528"/>
        <w:rPr>
          <w:rFonts w:hint="eastAsia" w:ascii="仿宋_GB2312" w:hAnsi="仿宋_GB2312" w:eastAsia="仿宋_GB2312" w:cs="仿宋_GB2312"/>
          <w:szCs w:val="28"/>
        </w:rPr>
      </w:pPr>
      <w:r>
        <w:rPr>
          <w:rFonts w:hint="eastAsia" w:ascii="仿宋_GB2312" w:hAnsi="仿宋_GB2312" w:eastAsia="仿宋_GB2312" w:cs="仿宋_GB2312"/>
          <w:szCs w:val="28"/>
        </w:rPr>
        <w:t>指定人员负责所属自动化系统的运行维护工作，确保自动化系统的正常运行。</w:t>
      </w:r>
    </w:p>
    <w:p>
      <w:pPr>
        <w:pStyle w:val="4"/>
        <w:numPr>
          <w:ilvl w:val="0"/>
          <w:numId w:val="3"/>
        </w:numPr>
      </w:pPr>
      <w:bookmarkStart w:id="29" w:name="_Toc131784638"/>
      <w:bookmarkStart w:id="30" w:name="_Toc1965"/>
      <w:bookmarkStart w:id="31" w:name="_Toc8159"/>
      <w:r>
        <w:rPr>
          <w:rFonts w:hint="eastAsia"/>
        </w:rPr>
        <w:t>通信</w:t>
      </w:r>
      <w:bookmarkEnd w:id="29"/>
      <w:bookmarkEnd w:id="30"/>
      <w:r>
        <w:rPr>
          <w:rFonts w:hint="eastAsia"/>
          <w:lang w:val="en-US" w:eastAsia="zh-CN"/>
        </w:rPr>
        <w:t>管理</w:t>
      </w:r>
      <w:bookmarkEnd w:id="31"/>
    </w:p>
    <w:p>
      <w:pPr>
        <w:ind w:firstLine="560" w:firstLineChars="200"/>
        <w:rPr>
          <w:rFonts w:hint="eastAsia"/>
        </w:rPr>
      </w:pPr>
      <w:r>
        <w:rPr>
          <w:rFonts w:hint="eastAsia" w:ascii="仿宋_GB2312" w:hAnsi="仿宋" w:eastAsia="仿宋_GB2312"/>
          <w:sz w:val="28"/>
        </w:rPr>
        <w:t>本虚拟电厂运营商承诺满足虚拟电厂通信</w:t>
      </w:r>
      <w:r>
        <w:rPr>
          <w:rFonts w:hint="eastAsia" w:ascii="仿宋_GB2312" w:hAnsi="仿宋" w:eastAsia="仿宋_GB2312"/>
          <w:sz w:val="28"/>
          <w:lang w:val="en-US" w:eastAsia="zh-CN"/>
        </w:rPr>
        <w:t>管理</w:t>
      </w:r>
      <w:r>
        <w:rPr>
          <w:rFonts w:hint="eastAsia" w:ascii="仿宋_GB2312" w:hAnsi="仿宋" w:eastAsia="仿宋_GB2312"/>
          <w:sz w:val="28"/>
        </w:rPr>
        <w:t>要求。</w:t>
      </w:r>
    </w:p>
    <w:p>
      <w:pPr>
        <w:pStyle w:val="5"/>
        <w:keepNext w:val="0"/>
        <w:keepLines w:val="0"/>
        <w:numPr>
          <w:ilvl w:val="1"/>
          <w:numId w:val="6"/>
        </w:numPr>
        <w:spacing w:before="0" w:after="0" w:line="480" w:lineRule="exact"/>
        <w:ind w:left="7" w:firstLine="560" w:firstLineChars="200"/>
        <w:rPr>
          <w:rFonts w:ascii="仿宋_GB2312" w:hAnsi="Calibri" w:eastAsia="仿宋_GB2312"/>
        </w:rPr>
      </w:pPr>
      <w:r>
        <w:rPr>
          <w:rFonts w:hint="eastAsia" w:ascii="仿宋_GB2312" w:hAnsi="仿宋_GB2312" w:eastAsia="仿宋_GB2312" w:cs="仿宋_GB2312"/>
          <w:szCs w:val="28"/>
        </w:rPr>
        <w:t>严格遵守有关</w:t>
      </w:r>
      <w:r>
        <w:rPr>
          <w:rFonts w:hint="eastAsia" w:ascii="仿宋_GB2312" w:hAnsi="仿宋" w:eastAsia="仿宋_GB2312"/>
          <w:sz w:val="28"/>
        </w:rPr>
        <w:t>通信</w:t>
      </w:r>
      <w:r>
        <w:rPr>
          <w:rFonts w:hint="eastAsia" w:ascii="仿宋_GB2312" w:hAnsi="仿宋" w:eastAsia="仿宋_GB2312"/>
          <w:sz w:val="28"/>
          <w:lang w:val="en-US" w:eastAsia="zh-CN"/>
        </w:rPr>
        <w:t>管理</w:t>
      </w:r>
      <w:r>
        <w:rPr>
          <w:rFonts w:hint="eastAsia" w:ascii="仿宋_GB2312" w:hAnsi="仿宋_GB2312" w:eastAsia="仿宋_GB2312" w:cs="仿宋_GB2312"/>
          <w:szCs w:val="28"/>
        </w:rPr>
        <w:t>系统的设计、运行和管理规程、</w:t>
      </w:r>
      <w:r>
        <w:rPr>
          <w:rFonts w:hint="eastAsia" w:ascii="仿宋_GB2312" w:hAnsi="Calibri" w:eastAsia="仿宋_GB2312"/>
        </w:rPr>
        <w:t>规范，并符合以下要求：</w:t>
      </w:r>
    </w:p>
    <w:p>
      <w:pPr>
        <w:spacing w:line="480" w:lineRule="exact"/>
        <w:ind w:firstLine="560" w:firstLineChars="200"/>
        <w:rPr>
          <w:rFonts w:ascii="仿宋_GB2312" w:eastAsia="仿宋_GB2312"/>
          <w:sz w:val="28"/>
        </w:rPr>
      </w:pPr>
      <w:r>
        <w:rPr>
          <w:rFonts w:ascii="仿宋_GB2312" w:eastAsia="仿宋_GB2312"/>
          <w:sz w:val="28"/>
        </w:rPr>
        <w:t>（1）负责</w:t>
      </w:r>
      <w:r>
        <w:rPr>
          <w:rFonts w:hint="eastAsia" w:ascii="仿宋_GB2312" w:eastAsia="仿宋_GB2312"/>
          <w:sz w:val="28"/>
          <w:lang w:val="en-US" w:eastAsia="zh-CN"/>
        </w:rPr>
        <w:t>本运营商</w:t>
      </w:r>
      <w:r>
        <w:rPr>
          <w:rFonts w:hint="eastAsia" w:ascii="仿宋_GB2312" w:eastAsia="仿宋_GB2312"/>
          <w:sz w:val="28"/>
        </w:rPr>
        <w:t>虚拟电厂</w:t>
      </w:r>
      <w:r>
        <w:rPr>
          <w:rFonts w:hint="eastAsia" w:ascii="仿宋_GB2312" w:hAnsi="仿宋" w:eastAsia="仿宋_GB2312"/>
          <w:sz w:val="28"/>
        </w:rPr>
        <w:t>通信</w:t>
      </w:r>
      <w:r>
        <w:rPr>
          <w:rFonts w:hint="eastAsia" w:ascii="仿宋_GB2312" w:hAnsi="仿宋" w:eastAsia="仿宋_GB2312"/>
          <w:sz w:val="28"/>
          <w:lang w:val="en-US" w:eastAsia="zh-CN"/>
        </w:rPr>
        <w:t>管理</w:t>
      </w:r>
      <w:r>
        <w:rPr>
          <w:rFonts w:ascii="仿宋_GB2312" w:eastAsia="仿宋_GB2312"/>
          <w:sz w:val="28"/>
        </w:rPr>
        <w:t>系统的运行维护，并保证其可靠运行。</w:t>
      </w:r>
    </w:p>
    <w:p>
      <w:pPr>
        <w:spacing w:line="480" w:lineRule="exact"/>
        <w:ind w:firstLine="560" w:firstLineChars="200"/>
        <w:rPr>
          <w:rFonts w:ascii="仿宋_GB2312" w:eastAsia="仿宋_GB2312"/>
          <w:sz w:val="28"/>
        </w:rPr>
      </w:pPr>
      <w:r>
        <w:rPr>
          <w:rFonts w:ascii="仿宋_GB2312" w:eastAsia="仿宋_GB2312"/>
          <w:sz w:val="28"/>
        </w:rPr>
        <w:t>（2）及时分析</w:t>
      </w:r>
      <w:r>
        <w:rPr>
          <w:rFonts w:hint="eastAsia" w:ascii="仿宋_GB2312" w:eastAsia="仿宋_GB2312"/>
          <w:sz w:val="28"/>
          <w:lang w:val="en-US" w:eastAsia="zh-CN"/>
        </w:rPr>
        <w:t>本运营商</w:t>
      </w:r>
      <w:r>
        <w:rPr>
          <w:rFonts w:hint="eastAsia" w:ascii="仿宋_GB2312" w:eastAsia="仿宋_GB2312"/>
          <w:sz w:val="28"/>
        </w:rPr>
        <w:t>虚拟电厂</w:t>
      </w:r>
      <w:r>
        <w:rPr>
          <w:rFonts w:hint="eastAsia" w:ascii="仿宋_GB2312" w:hAnsi="仿宋" w:eastAsia="仿宋_GB2312"/>
          <w:sz w:val="28"/>
        </w:rPr>
        <w:t>通信</w:t>
      </w:r>
      <w:r>
        <w:rPr>
          <w:rFonts w:hint="eastAsia" w:ascii="仿宋_GB2312" w:hAnsi="仿宋" w:eastAsia="仿宋_GB2312"/>
          <w:sz w:val="28"/>
          <w:lang w:val="en-US" w:eastAsia="zh-CN"/>
        </w:rPr>
        <w:t>管理</w:t>
      </w:r>
      <w:r>
        <w:rPr>
          <w:rFonts w:ascii="仿宋_GB2312" w:eastAsia="仿宋_GB2312"/>
          <w:sz w:val="28"/>
        </w:rPr>
        <w:t>系统故障原因，采取防范措施。</w:t>
      </w:r>
    </w:p>
    <w:p>
      <w:pPr>
        <w:spacing w:line="480" w:lineRule="exact"/>
        <w:ind w:firstLine="560" w:firstLineChars="200"/>
        <w:rPr>
          <w:rFonts w:ascii="仿宋_GB2312" w:eastAsia="仿宋_GB2312"/>
          <w:sz w:val="28"/>
        </w:rPr>
      </w:pPr>
      <w:r>
        <w:rPr>
          <w:rFonts w:ascii="仿宋_GB2312" w:eastAsia="仿宋_GB2312"/>
          <w:sz w:val="28"/>
        </w:rPr>
        <w:t>（3）协助</w:t>
      </w:r>
      <w:r>
        <w:rPr>
          <w:rFonts w:hint="eastAsia" w:ascii="仿宋_GB2312" w:eastAsia="仿宋_GB2312"/>
          <w:sz w:val="28"/>
          <w:lang w:val="en-US" w:eastAsia="zh-CN"/>
        </w:rPr>
        <w:t>管理中心</w:t>
      </w:r>
      <w:r>
        <w:rPr>
          <w:rFonts w:ascii="仿宋_GB2312" w:eastAsia="仿宋_GB2312"/>
          <w:sz w:val="28"/>
        </w:rPr>
        <w:t>通信系统的运行维护工作，配合</w:t>
      </w:r>
      <w:r>
        <w:rPr>
          <w:rFonts w:hint="eastAsia" w:ascii="仿宋_GB2312" w:eastAsia="仿宋_GB2312"/>
          <w:sz w:val="28"/>
          <w:lang w:val="en-US" w:eastAsia="zh-CN"/>
        </w:rPr>
        <w:t>管理中心</w:t>
      </w:r>
      <w:r>
        <w:rPr>
          <w:rFonts w:ascii="仿宋_GB2312" w:eastAsia="仿宋_GB2312"/>
          <w:sz w:val="28"/>
        </w:rPr>
        <w:t>进行事故调查。</w:t>
      </w:r>
    </w:p>
    <w:p>
      <w:pPr>
        <w:pStyle w:val="5"/>
        <w:keepNext w:val="0"/>
        <w:keepLines w:val="0"/>
        <w:numPr>
          <w:ilvl w:val="1"/>
          <w:numId w:val="6"/>
        </w:numPr>
        <w:spacing w:before="0" w:after="0" w:line="480" w:lineRule="exact"/>
        <w:ind w:left="7" w:firstLine="560" w:firstLineChars="200"/>
        <w:rPr>
          <w:rFonts w:ascii="仿宋_GB2312" w:hAnsi="仿宋_GB2312" w:eastAsia="仿宋_GB2312" w:cs="仿宋_GB2312"/>
          <w:szCs w:val="28"/>
        </w:rPr>
      </w:pPr>
      <w:r>
        <w:rPr>
          <w:rFonts w:hint="eastAsia" w:ascii="仿宋_GB2312" w:hAnsi="仿宋_GB2312" w:eastAsia="仿宋_GB2312" w:cs="仿宋_GB2312"/>
          <w:szCs w:val="28"/>
          <w:lang w:val="en-US" w:eastAsia="zh-CN"/>
        </w:rPr>
        <w:t>与</w:t>
      </w:r>
      <w:r>
        <w:rPr>
          <w:rFonts w:hint="eastAsia" w:ascii="仿宋_GB2312" w:hAnsi="仿宋_GB2312" w:eastAsia="仿宋_GB2312" w:cs="仿宋_GB2312"/>
          <w:szCs w:val="28"/>
        </w:rPr>
        <w:t>电力通信网互联的通信设备选型和配置应征得</w:t>
      </w:r>
      <w:r>
        <w:rPr>
          <w:rFonts w:hint="eastAsia" w:ascii="仿宋_GB2312" w:eastAsia="仿宋_GB2312"/>
          <w:lang w:val="en-US" w:eastAsia="zh-CN"/>
        </w:rPr>
        <w:t>管理中心</w:t>
      </w:r>
      <w:r>
        <w:rPr>
          <w:rFonts w:hint="eastAsia" w:ascii="仿宋_GB2312" w:hAnsi="仿宋_GB2312" w:eastAsia="仿宋_GB2312" w:cs="仿宋_GB2312"/>
          <w:szCs w:val="28"/>
        </w:rPr>
        <w:t>的认可。虚拟电厂运营商平台优先通过运营商专线、5G切片与深圳虚拟电厂管理云平台进行信息交互。</w:t>
      </w:r>
    </w:p>
    <w:p>
      <w:pPr>
        <w:pStyle w:val="5"/>
        <w:keepNext w:val="0"/>
        <w:keepLines w:val="0"/>
        <w:numPr>
          <w:ilvl w:val="1"/>
          <w:numId w:val="6"/>
        </w:numPr>
        <w:spacing w:before="0" w:after="0" w:line="480" w:lineRule="exact"/>
        <w:ind w:left="7"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与</w:t>
      </w:r>
      <w:r>
        <w:rPr>
          <w:rFonts w:hint="eastAsia" w:ascii="仿宋_GB2312" w:hAnsi="仿宋_GB2312" w:eastAsia="仿宋_GB2312" w:cs="仿宋_GB2312"/>
          <w:szCs w:val="28"/>
          <w:lang w:val="en-US" w:eastAsia="zh-CN"/>
        </w:rPr>
        <w:t>虚拟电厂运行</w:t>
      </w:r>
      <w:r>
        <w:rPr>
          <w:rFonts w:hint="eastAsia" w:ascii="仿宋_GB2312" w:hAnsi="仿宋_GB2312" w:eastAsia="仿宋_GB2312" w:cs="仿宋_GB2312"/>
          <w:szCs w:val="28"/>
        </w:rPr>
        <w:t>有关的通信设备、设施的停、复以及变更须报经</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同意后执行。</w:t>
      </w:r>
    </w:p>
    <w:p>
      <w:pPr>
        <w:pStyle w:val="5"/>
        <w:keepNext w:val="0"/>
        <w:keepLines w:val="0"/>
        <w:numPr>
          <w:ilvl w:val="1"/>
          <w:numId w:val="6"/>
        </w:numPr>
        <w:spacing w:before="0" w:after="0" w:line="480" w:lineRule="exact"/>
        <w:ind w:left="7" w:firstLine="560" w:firstLineChars="200"/>
        <w:rPr>
          <w:rFonts w:ascii="仿宋_GB2312" w:hAnsi="仿宋_GB2312" w:eastAsia="仿宋_GB2312" w:cs="仿宋_GB2312"/>
          <w:szCs w:val="28"/>
        </w:rPr>
      </w:pPr>
      <w:r>
        <w:rPr>
          <w:rFonts w:hint="eastAsia" w:ascii="仿宋_GB2312" w:hAnsi="仿宋_GB2312" w:eastAsia="仿宋_GB2312" w:cs="仿宋_GB2312"/>
          <w:szCs w:val="28"/>
          <w:lang w:val="en-US" w:eastAsia="zh-CN"/>
        </w:rPr>
        <w:t>本</w:t>
      </w:r>
      <w:r>
        <w:rPr>
          <w:rFonts w:hint="eastAsia" w:ascii="仿宋_GB2312" w:hAnsi="仿宋_GB2312" w:eastAsia="仿宋_GB2312" w:cs="仿宋_GB2312"/>
          <w:szCs w:val="28"/>
        </w:rPr>
        <w:t>运营商的通信</w:t>
      </w:r>
      <w:r>
        <w:rPr>
          <w:rFonts w:hint="eastAsia" w:ascii="仿宋_GB2312" w:hAnsi="仿宋_GB2312" w:eastAsia="仿宋_GB2312" w:cs="仿宋_GB2312"/>
          <w:szCs w:val="28"/>
          <w:lang w:val="en-US" w:eastAsia="zh-CN"/>
        </w:rPr>
        <w:t>管理</w:t>
      </w:r>
      <w:r>
        <w:rPr>
          <w:rFonts w:hint="eastAsia" w:ascii="仿宋_GB2312" w:hAnsi="仿宋_GB2312" w:eastAsia="仿宋_GB2312" w:cs="仿宋_GB2312"/>
          <w:szCs w:val="28"/>
        </w:rPr>
        <w:t>系统达到如下主要运行指标：</w:t>
      </w:r>
    </w:p>
    <w:p>
      <w:pPr>
        <w:spacing w:line="480" w:lineRule="exact"/>
        <w:ind w:firstLine="560" w:firstLineChars="200"/>
        <w:jc w:val="left"/>
        <w:rPr>
          <w:rFonts w:ascii="仿宋_GB2312" w:eastAsia="仿宋_GB2312"/>
          <w:sz w:val="28"/>
        </w:rPr>
      </w:pPr>
      <w:r>
        <w:rPr>
          <w:rFonts w:ascii="仿宋_GB2312" w:eastAsia="仿宋_GB2312"/>
          <w:sz w:val="28"/>
        </w:rPr>
        <w:t xml:space="preserve">（1）通信电路运行率≥ </w:t>
      </w:r>
      <w:r>
        <w:rPr>
          <w:rFonts w:hint="eastAsia" w:ascii="仿宋_GB2312" w:eastAsia="仿宋_GB2312"/>
          <w:sz w:val="28"/>
        </w:rPr>
        <w:t>99</w:t>
      </w:r>
      <w:r>
        <w:rPr>
          <w:rFonts w:ascii="仿宋_GB2312" w:eastAsia="仿宋_GB2312"/>
          <w:sz w:val="28"/>
        </w:rPr>
        <w:t>%。</w:t>
      </w:r>
    </w:p>
    <w:p>
      <w:pPr>
        <w:spacing w:line="480" w:lineRule="exact"/>
        <w:ind w:firstLine="560" w:firstLineChars="200"/>
        <w:jc w:val="left"/>
        <w:rPr>
          <w:rFonts w:ascii="仿宋_GB2312" w:eastAsia="仿宋_GB2312"/>
          <w:sz w:val="28"/>
        </w:rPr>
      </w:pPr>
      <w:r>
        <w:rPr>
          <w:rFonts w:ascii="仿宋_GB2312" w:eastAsia="仿宋_GB2312"/>
          <w:sz w:val="28"/>
        </w:rPr>
        <w:t xml:space="preserve">（2）设备运行率≥ </w:t>
      </w:r>
      <w:r>
        <w:rPr>
          <w:rFonts w:hint="eastAsia" w:ascii="仿宋_GB2312" w:eastAsia="仿宋_GB2312"/>
          <w:sz w:val="28"/>
        </w:rPr>
        <w:t>99</w:t>
      </w:r>
      <w:r>
        <w:rPr>
          <w:rFonts w:ascii="仿宋_GB2312" w:eastAsia="仿宋_GB2312"/>
          <w:sz w:val="28"/>
        </w:rPr>
        <w:t>%。</w:t>
      </w:r>
    </w:p>
    <w:p>
      <w:pPr>
        <w:spacing w:line="480" w:lineRule="exact"/>
        <w:ind w:firstLine="560" w:firstLineChars="200"/>
        <w:jc w:val="left"/>
        <w:rPr>
          <w:rFonts w:ascii="仿宋_GB2312" w:eastAsia="仿宋_GB2312"/>
          <w:sz w:val="28"/>
        </w:rPr>
      </w:pPr>
      <w:r>
        <w:rPr>
          <w:rFonts w:ascii="仿宋_GB2312" w:eastAsia="仿宋_GB2312"/>
          <w:sz w:val="28"/>
        </w:rPr>
        <w:t>（3）</w:t>
      </w:r>
      <w:r>
        <w:rPr>
          <w:rFonts w:hint="eastAsia" w:ascii="仿宋_GB2312" w:eastAsia="仿宋_GB2312"/>
          <w:sz w:val="28"/>
        </w:rPr>
        <w:t>专用</w:t>
      </w:r>
      <w:r>
        <w:rPr>
          <w:rFonts w:ascii="仿宋_GB2312" w:eastAsia="仿宋_GB2312"/>
          <w:sz w:val="28"/>
        </w:rPr>
        <w:t>业务</w:t>
      </w:r>
      <w:r>
        <w:rPr>
          <w:rFonts w:hint="eastAsia" w:ascii="仿宋_GB2312" w:eastAsia="仿宋_GB2312"/>
          <w:sz w:val="28"/>
        </w:rPr>
        <w:t>电话</w:t>
      </w:r>
      <w:r>
        <w:rPr>
          <w:rFonts w:ascii="仿宋_GB2312" w:eastAsia="仿宋_GB2312"/>
          <w:sz w:val="28"/>
        </w:rPr>
        <w:t>保障率≥ 100%。</w:t>
      </w:r>
    </w:p>
    <w:p>
      <w:pPr>
        <w:pStyle w:val="4"/>
        <w:keepLines w:val="0"/>
        <w:numPr>
          <w:ilvl w:val="0"/>
          <w:numId w:val="3"/>
        </w:numPr>
      </w:pPr>
      <w:bookmarkStart w:id="32" w:name="_Toc131784639"/>
      <w:bookmarkStart w:id="33" w:name="_Toc6730"/>
      <w:bookmarkStart w:id="34" w:name="_Toc21358"/>
      <w:r>
        <w:rPr>
          <w:rFonts w:hint="eastAsia"/>
        </w:rPr>
        <w:t>网络安全</w:t>
      </w:r>
      <w:bookmarkEnd w:id="32"/>
      <w:bookmarkEnd w:id="33"/>
      <w:bookmarkEnd w:id="34"/>
    </w:p>
    <w:p>
      <w:pPr>
        <w:ind w:firstLine="560" w:firstLineChars="200"/>
        <w:rPr>
          <w:rFonts w:hint="eastAsia"/>
        </w:rPr>
      </w:pPr>
      <w:r>
        <w:rPr>
          <w:rFonts w:hint="eastAsia" w:ascii="仿宋_GB2312" w:hAnsi="仿宋" w:eastAsia="仿宋_GB2312"/>
          <w:sz w:val="28"/>
        </w:rPr>
        <w:t>本虚拟电厂运营商承诺满足虚拟电厂网络安全要求。</w:t>
      </w:r>
    </w:p>
    <w:p>
      <w:pPr>
        <w:pStyle w:val="5"/>
        <w:keepNext w:val="0"/>
        <w:keepLines w:val="0"/>
        <w:numPr>
          <w:ilvl w:val="1"/>
          <w:numId w:val="7"/>
        </w:numPr>
        <w:spacing w:before="0" w:after="0" w:line="480" w:lineRule="exact"/>
        <w:ind w:left="7" w:firstLine="528"/>
        <w:jc w:val="left"/>
        <w:rPr>
          <w:rFonts w:ascii="仿宋_GB2312" w:hAnsi="仿宋_GB2312" w:eastAsia="仿宋_GB2312" w:cs="仿宋_GB2312"/>
          <w:szCs w:val="28"/>
        </w:rPr>
      </w:pPr>
      <w:r>
        <w:rPr>
          <w:rFonts w:hint="eastAsia" w:ascii="仿宋_GB2312" w:hAnsi="仿宋_GB2312" w:eastAsia="仿宋_GB2312" w:cs="仿宋_GB2312"/>
          <w:szCs w:val="28"/>
        </w:rPr>
        <w:t>遵守《中华人民共和国网络安全法》《中华人民共和国密码法》《中华人民共和国计算机信息系统安全保护条例》（国务院令第</w:t>
      </w:r>
      <w:r>
        <w:rPr>
          <w:rFonts w:ascii="仿宋_GB2312" w:hAnsi="仿宋_GB2312" w:eastAsia="仿宋_GB2312" w:cs="仿宋_GB2312"/>
          <w:szCs w:val="28"/>
        </w:rPr>
        <w:t xml:space="preserve">588 </w:t>
      </w:r>
      <w:r>
        <w:rPr>
          <w:rFonts w:hint="eastAsia" w:ascii="仿宋_GB2312" w:hAnsi="仿宋_GB2312" w:eastAsia="仿宋_GB2312" w:cs="仿宋_GB2312"/>
          <w:szCs w:val="28"/>
        </w:rPr>
        <w:t>号）、《信息安全技术网络安全等级保护基本要求》（</w:t>
      </w:r>
      <w:r>
        <w:rPr>
          <w:rFonts w:ascii="仿宋_GB2312" w:hAnsi="仿宋_GB2312" w:eastAsia="仿宋_GB2312" w:cs="仿宋_GB2312"/>
          <w:szCs w:val="28"/>
        </w:rPr>
        <w:t>GB/T 22239</w:t>
      </w:r>
      <w:r>
        <w:rPr>
          <w:rFonts w:hint="eastAsia" w:ascii="仿宋_GB2312" w:hAnsi="仿宋_GB2312" w:eastAsia="仿宋_GB2312" w:cs="仿宋_GB2312"/>
          <w:szCs w:val="28"/>
        </w:rPr>
        <w:t>）、《信息安全技术网络安全等级保护测评要求》（</w:t>
      </w:r>
      <w:r>
        <w:rPr>
          <w:rFonts w:ascii="仿宋_GB2312" w:hAnsi="仿宋_GB2312" w:eastAsia="仿宋_GB2312" w:cs="仿宋_GB2312"/>
          <w:szCs w:val="28"/>
        </w:rPr>
        <w:t>GB/T 28448</w:t>
      </w:r>
      <w:r>
        <w:rPr>
          <w:rFonts w:hint="eastAsia" w:ascii="仿宋_GB2312" w:hAnsi="仿宋_GB2312" w:eastAsia="仿宋_GB2312" w:cs="仿宋_GB2312"/>
          <w:szCs w:val="28"/>
        </w:rPr>
        <w:t>）、《电力监控系统安全防护规定》（国家发展和改革委员会〔</w:t>
      </w:r>
      <w:r>
        <w:rPr>
          <w:rFonts w:ascii="仿宋_GB2312" w:hAnsi="仿宋_GB2312" w:eastAsia="仿宋_GB2312" w:cs="仿宋_GB2312"/>
          <w:szCs w:val="28"/>
        </w:rPr>
        <w:t>2014</w:t>
      </w:r>
      <w:r>
        <w:rPr>
          <w:rFonts w:hint="eastAsia" w:ascii="仿宋_GB2312" w:hAnsi="仿宋_GB2312" w:eastAsia="仿宋_GB2312" w:cs="仿宋_GB2312"/>
          <w:szCs w:val="28"/>
        </w:rPr>
        <w:t>〕第</w:t>
      </w:r>
      <w:r>
        <w:rPr>
          <w:rFonts w:ascii="仿宋_GB2312" w:hAnsi="仿宋_GB2312" w:eastAsia="仿宋_GB2312" w:cs="仿宋_GB2312"/>
          <w:szCs w:val="28"/>
        </w:rPr>
        <w:t xml:space="preserve">14 </w:t>
      </w:r>
      <w:r>
        <w:rPr>
          <w:rFonts w:hint="eastAsia" w:ascii="仿宋_GB2312" w:hAnsi="仿宋_GB2312" w:eastAsia="仿宋_GB2312" w:cs="仿宋_GB2312"/>
          <w:szCs w:val="28"/>
        </w:rPr>
        <w:t>号令）、《国家能源局关于印发电力监控系统安全防护总体方案等安全防护方案和评估规范的通知》（国能安全〔</w:t>
      </w:r>
      <w:r>
        <w:rPr>
          <w:rFonts w:ascii="仿宋_GB2312" w:hAnsi="仿宋_GB2312" w:eastAsia="仿宋_GB2312" w:cs="仿宋_GB2312"/>
          <w:szCs w:val="28"/>
        </w:rPr>
        <w:t>2015</w:t>
      </w:r>
      <w:r>
        <w:rPr>
          <w:rFonts w:hint="eastAsia" w:ascii="仿宋_GB2312" w:hAnsi="仿宋_GB2312" w:eastAsia="仿宋_GB2312" w:cs="仿宋_GB2312"/>
          <w:szCs w:val="28"/>
        </w:rPr>
        <w:t>〕</w:t>
      </w:r>
      <w:r>
        <w:rPr>
          <w:rFonts w:ascii="仿宋_GB2312" w:hAnsi="仿宋_GB2312" w:eastAsia="仿宋_GB2312" w:cs="仿宋_GB2312"/>
          <w:szCs w:val="28"/>
        </w:rPr>
        <w:t xml:space="preserve">36 </w:t>
      </w:r>
      <w:r>
        <w:rPr>
          <w:rFonts w:hint="eastAsia" w:ascii="仿宋_GB2312" w:hAnsi="仿宋_GB2312" w:eastAsia="仿宋_GB2312" w:cs="仿宋_GB2312"/>
          <w:szCs w:val="28"/>
        </w:rPr>
        <w:t>号）、《关于开展信息安全等级保护安全建设整改工作的指导意见》（公信安〔</w:t>
      </w:r>
      <w:r>
        <w:rPr>
          <w:rFonts w:ascii="仿宋_GB2312" w:hAnsi="仿宋_GB2312" w:eastAsia="仿宋_GB2312" w:cs="仿宋_GB2312"/>
          <w:szCs w:val="28"/>
        </w:rPr>
        <w:t>2009</w:t>
      </w:r>
      <w:r>
        <w:rPr>
          <w:rFonts w:hint="eastAsia" w:ascii="仿宋_GB2312" w:hAnsi="仿宋_GB2312" w:eastAsia="仿宋_GB2312" w:cs="仿宋_GB2312"/>
          <w:szCs w:val="28"/>
        </w:rPr>
        <w:t>〕</w:t>
      </w:r>
      <w:r>
        <w:rPr>
          <w:rFonts w:ascii="仿宋_GB2312" w:hAnsi="仿宋_GB2312" w:eastAsia="仿宋_GB2312" w:cs="仿宋_GB2312"/>
          <w:szCs w:val="28"/>
        </w:rPr>
        <w:t xml:space="preserve">1429 </w:t>
      </w:r>
      <w:r>
        <w:rPr>
          <w:rFonts w:hint="eastAsia" w:ascii="仿宋_GB2312" w:hAnsi="仿宋_GB2312" w:eastAsia="仿宋_GB2312" w:cs="仿宋_GB2312"/>
          <w:szCs w:val="28"/>
        </w:rPr>
        <w:t>号）等国家有关法律法规及标准要求，防范黑客及恶意代码等的攻击及侵害，保障电力监控系统的安全。</w:t>
      </w:r>
    </w:p>
    <w:p>
      <w:pPr>
        <w:pStyle w:val="5"/>
        <w:keepNext w:val="0"/>
        <w:keepLines w:val="0"/>
        <w:numPr>
          <w:ilvl w:val="1"/>
          <w:numId w:val="7"/>
        </w:numPr>
        <w:spacing w:before="0" w:after="0" w:line="480" w:lineRule="exact"/>
        <w:ind w:left="7" w:firstLine="528"/>
        <w:jc w:val="left"/>
        <w:rPr>
          <w:rFonts w:ascii="仿宋_GB2312" w:hAnsi="仿宋_GB2312" w:eastAsia="仿宋_GB2312" w:cs="仿宋_GB2312"/>
          <w:szCs w:val="28"/>
        </w:rPr>
      </w:pPr>
      <w:r>
        <w:rPr>
          <w:rFonts w:hint="eastAsia" w:ascii="仿宋_GB2312" w:hAnsi="仿宋_GB2312" w:eastAsia="仿宋_GB2312" w:cs="仿宋_GB2312"/>
          <w:szCs w:val="28"/>
        </w:rPr>
        <w:t>计算机监控系统符合《电力监控系统安全防护规定》（国家发展和改革委员会〔</w:t>
      </w:r>
      <w:r>
        <w:rPr>
          <w:rFonts w:ascii="仿宋_GB2312" w:hAnsi="仿宋_GB2312" w:eastAsia="仿宋_GB2312" w:cs="仿宋_GB2312"/>
          <w:szCs w:val="28"/>
        </w:rPr>
        <w:t>2014</w:t>
      </w:r>
      <w:r>
        <w:rPr>
          <w:rFonts w:hint="eastAsia" w:ascii="仿宋_GB2312" w:hAnsi="仿宋_GB2312" w:eastAsia="仿宋_GB2312" w:cs="仿宋_GB2312"/>
          <w:szCs w:val="28"/>
        </w:rPr>
        <w:t>〕</w:t>
      </w:r>
      <w:r>
        <w:rPr>
          <w:rFonts w:ascii="仿宋_GB2312" w:hAnsi="仿宋_GB2312" w:eastAsia="仿宋_GB2312" w:cs="仿宋_GB2312"/>
          <w:szCs w:val="28"/>
        </w:rPr>
        <w:t xml:space="preserve">14 </w:t>
      </w:r>
      <w:r>
        <w:rPr>
          <w:rFonts w:hint="eastAsia" w:ascii="仿宋_GB2312" w:hAnsi="仿宋_GB2312" w:eastAsia="仿宋_GB2312" w:cs="仿宋_GB2312"/>
          <w:szCs w:val="28"/>
        </w:rPr>
        <w:t>号令）、《电力监控系统安全防护总体方案》（国能安全〔</w:t>
      </w:r>
      <w:r>
        <w:rPr>
          <w:rFonts w:ascii="仿宋_GB2312" w:hAnsi="仿宋_GB2312" w:eastAsia="仿宋_GB2312" w:cs="仿宋_GB2312"/>
          <w:szCs w:val="28"/>
        </w:rPr>
        <w:t>2015</w:t>
      </w:r>
      <w:r>
        <w:rPr>
          <w:rFonts w:hint="eastAsia" w:ascii="仿宋_GB2312" w:hAnsi="仿宋_GB2312" w:eastAsia="仿宋_GB2312" w:cs="仿宋_GB2312"/>
          <w:szCs w:val="28"/>
        </w:rPr>
        <w:t>〕</w:t>
      </w:r>
      <w:r>
        <w:rPr>
          <w:rFonts w:ascii="仿宋_GB2312" w:hAnsi="仿宋_GB2312" w:eastAsia="仿宋_GB2312" w:cs="仿宋_GB2312"/>
          <w:szCs w:val="28"/>
        </w:rPr>
        <w:t xml:space="preserve">36 </w:t>
      </w:r>
      <w:r>
        <w:rPr>
          <w:rFonts w:hint="eastAsia" w:ascii="仿宋_GB2312" w:hAnsi="仿宋_GB2312" w:eastAsia="仿宋_GB2312" w:cs="仿宋_GB2312"/>
          <w:szCs w:val="28"/>
        </w:rPr>
        <w:t>号）的要求及有关规定。</w:t>
      </w:r>
    </w:p>
    <w:p>
      <w:pPr>
        <w:pStyle w:val="5"/>
        <w:keepNext w:val="0"/>
        <w:keepLines w:val="0"/>
        <w:numPr>
          <w:ilvl w:val="1"/>
          <w:numId w:val="7"/>
        </w:numPr>
        <w:spacing w:before="0" w:after="0" w:line="480" w:lineRule="exact"/>
        <w:ind w:left="7" w:firstLine="528"/>
        <w:jc w:val="left"/>
        <w:rPr>
          <w:rFonts w:ascii="仿宋_GB2312" w:hAnsi="仿宋_GB2312" w:eastAsia="仿宋_GB2312" w:cs="仿宋_GB2312"/>
          <w:szCs w:val="28"/>
        </w:rPr>
      </w:pPr>
      <w:r>
        <w:rPr>
          <w:rFonts w:hint="eastAsia" w:ascii="仿宋_GB2312" w:hAnsi="仿宋_GB2312" w:eastAsia="仿宋_GB2312" w:cs="仿宋_GB2312"/>
          <w:szCs w:val="28"/>
        </w:rPr>
        <w:t>虚拟电厂相关系统部署架构及接入方式符合可调节负荷并网的行业、地方技术规范。</w:t>
      </w:r>
    </w:p>
    <w:p>
      <w:pPr>
        <w:pStyle w:val="5"/>
        <w:keepNext w:val="0"/>
        <w:keepLines w:val="0"/>
        <w:numPr>
          <w:ilvl w:val="1"/>
          <w:numId w:val="7"/>
        </w:numPr>
        <w:spacing w:before="0" w:after="0" w:line="480" w:lineRule="exact"/>
        <w:ind w:left="7" w:firstLine="528"/>
        <w:jc w:val="left"/>
        <w:rPr>
          <w:rFonts w:ascii="仿宋_GB2312" w:hAnsi="仿宋_GB2312" w:eastAsia="仿宋_GB2312" w:cs="仿宋_GB2312"/>
          <w:szCs w:val="28"/>
        </w:rPr>
      </w:pPr>
      <w:r>
        <w:rPr>
          <w:rFonts w:hint="eastAsia" w:ascii="仿宋_GB2312" w:hAnsi="仿宋_GB2312" w:eastAsia="仿宋_GB2312" w:cs="仿宋_GB2312"/>
          <w:szCs w:val="28"/>
        </w:rPr>
        <w:t>履行保密义务，严禁非授权使用和发布对方有关数据。</w:t>
      </w:r>
    </w:p>
    <w:p>
      <w:pPr>
        <w:pStyle w:val="5"/>
        <w:keepNext w:val="0"/>
        <w:keepLines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在通信纵向连接处部署经过国家指定部门检测认证的电力专用纵向加密认证装置或加密认证网关，实现双向身份认证、数据加密和访问控制功能。</w:t>
      </w:r>
    </w:p>
    <w:p>
      <w:pPr>
        <w:pStyle w:val="5"/>
        <w:keepNext w:val="0"/>
        <w:keepLines w:val="0"/>
        <w:numPr>
          <w:ilvl w:val="1"/>
          <w:numId w:val="7"/>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虚拟电厂运营商系统</w:t>
      </w:r>
      <w:r>
        <w:rPr>
          <w:rFonts w:ascii="仿宋_GB2312" w:hAnsi="仿宋_GB2312" w:eastAsia="仿宋_GB2312" w:cs="仿宋_GB2312"/>
          <w:szCs w:val="28"/>
        </w:rPr>
        <w:t>按照</w:t>
      </w:r>
      <w:r>
        <w:rPr>
          <w:rFonts w:hint="eastAsia" w:ascii="仿宋_GB2312" w:hAnsi="仿宋_GB2312" w:eastAsia="仿宋_GB2312" w:cs="仿宋_GB2312"/>
          <w:szCs w:val="28"/>
        </w:rPr>
        <w:t>业务</w:t>
      </w:r>
      <w:r>
        <w:rPr>
          <w:rFonts w:ascii="仿宋_GB2312" w:hAnsi="仿宋_GB2312" w:eastAsia="仿宋_GB2312" w:cs="仿宋_GB2312"/>
          <w:szCs w:val="28"/>
        </w:rPr>
        <w:t>功能划分相应的安全分区</w:t>
      </w:r>
      <w:r>
        <w:rPr>
          <w:rFonts w:hint="eastAsia" w:ascii="仿宋_GB2312" w:hAnsi="仿宋_GB2312" w:eastAsia="仿宋_GB2312" w:cs="仿宋_GB2312"/>
          <w:szCs w:val="28"/>
        </w:rPr>
        <w:t>或安全区域。</w:t>
      </w:r>
      <w:r>
        <w:rPr>
          <w:rFonts w:ascii="仿宋_GB2312" w:hAnsi="仿宋_GB2312" w:eastAsia="仿宋_GB2312" w:cs="仿宋_GB2312"/>
          <w:szCs w:val="28"/>
        </w:rPr>
        <w:t>不同</w:t>
      </w:r>
      <w:r>
        <w:rPr>
          <w:rFonts w:hint="eastAsia" w:ascii="仿宋_GB2312" w:hAnsi="仿宋_GB2312" w:eastAsia="仿宋_GB2312" w:cs="仿宋_GB2312"/>
          <w:szCs w:val="28"/>
        </w:rPr>
        <w:t>安全分区或安全</w:t>
      </w:r>
      <w:r>
        <w:rPr>
          <w:rFonts w:ascii="仿宋_GB2312" w:hAnsi="仿宋_GB2312" w:eastAsia="仿宋_GB2312" w:cs="仿宋_GB2312"/>
          <w:szCs w:val="28"/>
        </w:rPr>
        <w:t>区域之间应</w:t>
      </w:r>
      <w:r>
        <w:rPr>
          <w:rFonts w:hint="eastAsia" w:ascii="仿宋_GB2312" w:hAnsi="仿宋_GB2312" w:eastAsia="仿宋_GB2312" w:cs="仿宋_GB2312"/>
          <w:szCs w:val="28"/>
        </w:rPr>
        <w:t>采取</w:t>
      </w:r>
      <w:r>
        <w:rPr>
          <w:rFonts w:ascii="仿宋_GB2312" w:hAnsi="仿宋_GB2312" w:eastAsia="仿宋_GB2312" w:cs="仿宋_GB2312"/>
          <w:szCs w:val="28"/>
        </w:rPr>
        <w:t>隔离措施</w:t>
      </w:r>
      <w:r>
        <w:rPr>
          <w:rFonts w:hint="eastAsia" w:ascii="仿宋_GB2312" w:hAnsi="仿宋_GB2312" w:eastAsia="仿宋_GB2312" w:cs="仿宋_GB2312"/>
          <w:szCs w:val="28"/>
        </w:rPr>
        <w:t>，</w:t>
      </w:r>
      <w:r>
        <w:rPr>
          <w:rFonts w:ascii="仿宋_GB2312" w:hAnsi="仿宋_GB2312" w:eastAsia="仿宋_GB2312" w:cs="仿宋_GB2312"/>
          <w:szCs w:val="28"/>
        </w:rPr>
        <w:t>隔离强度接近或达到</w:t>
      </w:r>
      <w:r>
        <w:rPr>
          <w:rFonts w:hint="eastAsia" w:ascii="仿宋_GB2312" w:hAnsi="仿宋_GB2312" w:eastAsia="仿宋_GB2312" w:cs="仿宋_GB2312"/>
          <w:szCs w:val="28"/>
        </w:rPr>
        <w:t>相应的</w:t>
      </w:r>
      <w:r>
        <w:rPr>
          <w:rFonts w:ascii="仿宋_GB2312" w:hAnsi="仿宋_GB2312" w:eastAsia="仿宋_GB2312" w:cs="仿宋_GB2312"/>
          <w:szCs w:val="28"/>
        </w:rPr>
        <w:t>隔离</w:t>
      </w:r>
      <w:r>
        <w:rPr>
          <w:rFonts w:hint="eastAsia" w:ascii="仿宋_GB2312" w:hAnsi="仿宋_GB2312" w:eastAsia="仿宋_GB2312" w:cs="仿宋_GB2312"/>
          <w:szCs w:val="28"/>
        </w:rPr>
        <w:t>水平。</w:t>
      </w:r>
    </w:p>
    <w:p>
      <w:pPr>
        <w:pStyle w:val="5"/>
        <w:keepNext w:val="0"/>
        <w:keepLines w:val="0"/>
        <w:numPr>
          <w:ilvl w:val="1"/>
          <w:numId w:val="7"/>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对于公有云部署的虚拟电厂运营商系统</w:t>
      </w:r>
      <w:r>
        <w:rPr>
          <w:rFonts w:ascii="仿宋_GB2312" w:hAnsi="仿宋_GB2312" w:eastAsia="仿宋_GB2312" w:cs="仿宋_GB2312"/>
          <w:szCs w:val="28"/>
        </w:rPr>
        <w:t>，</w:t>
      </w:r>
      <w:r>
        <w:rPr>
          <w:rFonts w:hint="eastAsia" w:ascii="仿宋_GB2312" w:hAnsi="仿宋_GB2312" w:eastAsia="仿宋_GB2312" w:cs="仿宋_GB2312"/>
          <w:szCs w:val="28"/>
        </w:rPr>
        <w:t>按功能部署于公有云平台的不同区域。</w:t>
      </w:r>
    </w:p>
    <w:p>
      <w:pPr>
        <w:pStyle w:val="5"/>
        <w:keepNext w:val="0"/>
        <w:keepLines w:val="0"/>
        <w:numPr>
          <w:ilvl w:val="1"/>
          <w:numId w:val="7"/>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对各种系统主机、数据库、网络安全设备的运维资料、系统应用数据、网络安全架构、拓扑图、技术文档等敏感信息进行保密，严禁非授权使用和发布与</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有关数据，禁止在互联网传递、传播</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相关秘密信息及工作相关信息。</w:t>
      </w:r>
    </w:p>
    <w:p>
      <w:pPr>
        <w:pStyle w:val="5"/>
        <w:keepNext w:val="0"/>
        <w:keepLines w:val="0"/>
        <w:numPr>
          <w:ilvl w:val="1"/>
          <w:numId w:val="7"/>
        </w:numPr>
        <w:spacing w:before="0" w:after="0" w:line="480" w:lineRule="exact"/>
        <w:ind w:left="7" w:firstLine="528"/>
        <w:jc w:val="left"/>
        <w:rPr>
          <w:rFonts w:ascii="仿宋_GB2312" w:hAnsi="仿宋_GB2312" w:eastAsia="仿宋_GB2312" w:cs="仿宋_GB2312"/>
          <w:szCs w:val="28"/>
        </w:rPr>
      </w:pPr>
      <w:r>
        <w:rPr>
          <w:rFonts w:hint="eastAsia" w:ascii="仿宋_GB2312" w:hAnsi="仿宋_GB2312" w:eastAsia="仿宋_GB2312" w:cs="仿宋_GB2312"/>
          <w:szCs w:val="28"/>
        </w:rPr>
        <w:t>安全防护设备达到如下主要运行指标：</w:t>
      </w:r>
    </w:p>
    <w:p>
      <w:pPr>
        <w:spacing w:line="480" w:lineRule="exact"/>
        <w:ind w:left="420" w:firstLine="413"/>
        <w:jc w:val="left"/>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）不发生影响电网安全稳定运行的信息安全事件；</w:t>
      </w:r>
    </w:p>
    <w:p>
      <w:pPr>
        <w:spacing w:line="480" w:lineRule="exact"/>
        <w:ind w:left="420" w:firstLine="413"/>
        <w:jc w:val="left"/>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）安全防护等设备在线率≥</w:t>
      </w:r>
      <w:r>
        <w:rPr>
          <w:rFonts w:ascii="仿宋_GB2312" w:eastAsia="仿宋_GB2312"/>
          <w:sz w:val="28"/>
          <w:szCs w:val="28"/>
        </w:rPr>
        <w:t>95%</w:t>
      </w:r>
      <w:r>
        <w:rPr>
          <w:rFonts w:hint="eastAsia" w:ascii="仿宋_GB2312" w:eastAsia="仿宋_GB2312"/>
          <w:sz w:val="28"/>
          <w:szCs w:val="28"/>
        </w:rPr>
        <w:t>；</w:t>
      </w:r>
    </w:p>
    <w:p>
      <w:pPr>
        <w:spacing w:line="480" w:lineRule="exact"/>
        <w:ind w:left="420" w:firstLine="413"/>
        <w:jc w:val="left"/>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）纵向密通水平≥</w:t>
      </w:r>
      <w:r>
        <w:rPr>
          <w:rFonts w:ascii="仿宋_GB2312" w:hAnsi="仿宋" w:eastAsia="仿宋_GB2312"/>
          <w:sz w:val="28"/>
          <w:szCs w:val="28"/>
        </w:rPr>
        <w:t>95</w:t>
      </w:r>
      <w:r>
        <w:rPr>
          <w:rFonts w:ascii="仿宋_GB2312" w:eastAsia="仿宋_GB2312"/>
          <w:sz w:val="28"/>
          <w:szCs w:val="28"/>
        </w:rPr>
        <w:t>%</w:t>
      </w:r>
      <w:r>
        <w:rPr>
          <w:rFonts w:hint="eastAsia" w:ascii="仿宋_GB2312" w:eastAsia="仿宋_GB2312"/>
          <w:sz w:val="28"/>
          <w:szCs w:val="28"/>
        </w:rPr>
        <w:t>。</w:t>
      </w:r>
    </w:p>
    <w:p>
      <w:pPr>
        <w:pStyle w:val="4"/>
        <w:keepLines w:val="0"/>
        <w:numPr>
          <w:ilvl w:val="0"/>
          <w:numId w:val="3"/>
        </w:numPr>
      </w:pPr>
      <w:bookmarkStart w:id="35" w:name="_Toc131784640"/>
      <w:bookmarkStart w:id="36" w:name="_Toc13132"/>
      <w:bookmarkStart w:id="37" w:name="_Toc3636"/>
      <w:r>
        <w:rPr>
          <w:rFonts w:hint="eastAsia"/>
        </w:rPr>
        <w:t>不可抗力</w:t>
      </w:r>
      <w:bookmarkEnd w:id="16"/>
      <w:bookmarkEnd w:id="35"/>
      <w:bookmarkEnd w:id="36"/>
      <w:bookmarkEnd w:id="37"/>
    </w:p>
    <w:p>
      <w:pPr>
        <w:pStyle w:val="5"/>
        <w:keepNext w:val="0"/>
        <w:keepLines w:val="0"/>
        <w:numPr>
          <w:ilvl w:val="1"/>
          <w:numId w:val="3"/>
        </w:numPr>
        <w:spacing w:before="0" w:after="0" w:line="480" w:lineRule="exact"/>
        <w:ind w:left="6" w:firstLine="527"/>
        <w:rPr>
          <w:rFonts w:ascii="仿宋_GB2312" w:hAnsi="仿宋_GB2312" w:eastAsia="仿宋_GB2312" w:cs="仿宋_GB2312"/>
          <w:szCs w:val="28"/>
        </w:rPr>
      </w:pPr>
      <w:r>
        <w:rPr>
          <w:rFonts w:hint="eastAsia" w:ascii="仿宋_GB2312" w:hAnsi="仿宋_GB2312" w:eastAsia="仿宋_GB2312" w:cs="仿宋_GB2312"/>
          <w:szCs w:val="28"/>
        </w:rPr>
        <w:t>若不可抗力的发生完全或部分地妨碍</w:t>
      </w:r>
      <w:r>
        <w:rPr>
          <w:rFonts w:hint="eastAsia" w:ascii="仿宋_GB2312" w:hAnsi="仿宋_GB2312" w:eastAsia="仿宋_GB2312" w:cs="仿宋_GB2312"/>
          <w:szCs w:val="28"/>
          <w:lang w:val="en-US" w:eastAsia="zh-CN"/>
        </w:rPr>
        <w:t>本</w:t>
      </w:r>
      <w:r>
        <w:rPr>
          <w:rFonts w:hint="eastAsia" w:ascii="仿宋_GB2312" w:hAnsi="仿宋_GB2312" w:eastAsia="仿宋_GB2312" w:cs="仿宋_GB2312"/>
          <w:szCs w:val="28"/>
        </w:rPr>
        <w:t>虚拟电厂运营商履行本承诺书项下的任何义务，</w:t>
      </w:r>
      <w:r>
        <w:rPr>
          <w:rFonts w:hint="eastAsia" w:ascii="仿宋_GB2312" w:hAnsi="仿宋_GB2312" w:eastAsia="仿宋_GB2312" w:cs="仿宋_GB2312"/>
          <w:szCs w:val="28"/>
          <w:lang w:val="en-US" w:eastAsia="zh-CN"/>
        </w:rPr>
        <w:t>本虚拟电厂运营商</w:t>
      </w:r>
      <w:r>
        <w:rPr>
          <w:rFonts w:hint="eastAsia" w:ascii="仿宋_GB2312" w:hAnsi="仿宋_GB2312" w:eastAsia="仿宋_GB2312" w:cs="仿宋_GB2312"/>
          <w:szCs w:val="28"/>
        </w:rPr>
        <w:t>可</w:t>
      </w:r>
      <w:r>
        <w:rPr>
          <w:rFonts w:hint="eastAsia" w:ascii="仿宋_GB2312" w:hAnsi="仿宋_GB2312" w:eastAsia="仿宋_GB2312" w:cs="仿宋_GB2312"/>
          <w:szCs w:val="28"/>
          <w:lang w:val="en-US" w:eastAsia="zh-CN"/>
        </w:rPr>
        <w:t>申请</w:t>
      </w:r>
      <w:r>
        <w:rPr>
          <w:rFonts w:hint="eastAsia" w:ascii="仿宋_GB2312" w:hAnsi="仿宋_GB2312" w:eastAsia="仿宋_GB2312" w:cs="仿宋_GB2312"/>
          <w:szCs w:val="28"/>
        </w:rPr>
        <w:t>免除或延迟履行</w:t>
      </w:r>
      <w:r>
        <w:rPr>
          <w:rFonts w:hint="eastAsia" w:ascii="仿宋_GB2312" w:hAnsi="仿宋_GB2312" w:eastAsia="仿宋_GB2312" w:cs="仿宋_GB2312"/>
          <w:szCs w:val="28"/>
          <w:lang w:val="en-US" w:eastAsia="zh-CN"/>
        </w:rPr>
        <w:t>相关</w:t>
      </w:r>
      <w:r>
        <w:rPr>
          <w:rFonts w:hint="eastAsia" w:ascii="仿宋_GB2312" w:hAnsi="仿宋_GB2312" w:eastAsia="仿宋_GB2312" w:cs="仿宋_GB2312"/>
          <w:szCs w:val="28"/>
        </w:rPr>
        <w:t>义务。</w:t>
      </w:r>
    </w:p>
    <w:p>
      <w:pPr>
        <w:pStyle w:val="5"/>
        <w:keepNext w:val="0"/>
        <w:keepLines w:val="0"/>
        <w:numPr>
          <w:ilvl w:val="1"/>
          <w:numId w:val="3"/>
        </w:numPr>
        <w:spacing w:before="0" w:after="0" w:line="480" w:lineRule="exact"/>
        <w:ind w:left="6" w:firstLine="527"/>
        <w:rPr>
          <w:rFonts w:ascii="仿宋_GB2312" w:hAnsi="仿宋_GB2312" w:eastAsia="仿宋_GB2312" w:cs="仿宋_GB2312"/>
          <w:szCs w:val="28"/>
        </w:rPr>
      </w:pPr>
      <w:r>
        <w:rPr>
          <w:rFonts w:hint="eastAsia" w:ascii="仿宋_GB2312" w:hAnsi="仿宋_GB2312" w:eastAsia="仿宋_GB2312" w:cs="仿宋_GB2312"/>
          <w:szCs w:val="28"/>
        </w:rPr>
        <w:t>若因不可抗力而不能履行本承诺书，</w:t>
      </w:r>
      <w:r>
        <w:rPr>
          <w:rFonts w:hint="eastAsia" w:ascii="仿宋_GB2312" w:hAnsi="仿宋_GB2312" w:eastAsia="仿宋_GB2312" w:cs="仿宋_GB2312"/>
          <w:szCs w:val="28"/>
          <w:lang w:val="en-US" w:eastAsia="zh-CN"/>
        </w:rPr>
        <w:t>将</w:t>
      </w:r>
      <w:r>
        <w:rPr>
          <w:rFonts w:hint="eastAsia" w:ascii="仿宋_GB2312" w:hAnsi="仿宋_GB2312" w:eastAsia="仿宋_GB2312" w:cs="仿宋_GB2312"/>
          <w:szCs w:val="28"/>
        </w:rPr>
        <w:t>立即告知</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w:t>
      </w:r>
    </w:p>
    <w:p>
      <w:pPr>
        <w:pStyle w:val="5"/>
        <w:keepNext w:val="0"/>
        <w:keepLines w:val="0"/>
        <w:numPr>
          <w:ilvl w:val="1"/>
          <w:numId w:val="3"/>
        </w:numPr>
        <w:spacing w:before="0" w:after="0" w:line="480" w:lineRule="exact"/>
        <w:ind w:left="6" w:firstLine="527"/>
        <w:rPr>
          <w:rFonts w:ascii="仿宋_GB2312" w:hAnsi="仿宋_GB2312" w:eastAsia="仿宋_GB2312" w:cs="仿宋_GB2312"/>
          <w:szCs w:val="28"/>
        </w:rPr>
      </w:pPr>
      <w:r>
        <w:rPr>
          <w:rFonts w:hint="eastAsia" w:ascii="仿宋_GB2312" w:hAnsi="仿宋_GB2312" w:eastAsia="仿宋_GB2312" w:cs="仿宋_GB2312"/>
          <w:szCs w:val="28"/>
        </w:rPr>
        <w:t>受不可抗力影响</w:t>
      </w:r>
      <w:r>
        <w:rPr>
          <w:rFonts w:hint="eastAsia" w:ascii="仿宋_GB2312" w:hAnsi="仿宋_GB2312" w:eastAsia="仿宋_GB2312" w:cs="仿宋_GB2312"/>
          <w:szCs w:val="28"/>
          <w:lang w:val="en-US" w:eastAsia="zh-CN"/>
        </w:rPr>
        <w:t>时</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lang w:val="en-US" w:eastAsia="zh-CN"/>
        </w:rPr>
        <w:t>将</w:t>
      </w:r>
      <w:r>
        <w:rPr>
          <w:rFonts w:hint="eastAsia" w:ascii="仿宋_GB2312" w:hAnsi="仿宋_GB2312" w:eastAsia="仿宋_GB2312" w:cs="仿宋_GB2312"/>
          <w:szCs w:val="28"/>
        </w:rPr>
        <w:t>采取合理措施，及时协商制定并实施补救计划及合理的替代措施，以减少或消除不可抗力的影响。</w:t>
      </w:r>
    </w:p>
    <w:p>
      <w:pPr>
        <w:pStyle w:val="4"/>
        <w:numPr>
          <w:ilvl w:val="0"/>
          <w:numId w:val="3"/>
        </w:numPr>
      </w:pPr>
      <w:bookmarkStart w:id="38" w:name="_Toc12160"/>
      <w:bookmarkStart w:id="39" w:name="_Toc131784641"/>
      <w:r>
        <w:rPr>
          <w:rFonts w:hint="eastAsia"/>
        </w:rPr>
        <w:t>违约责任</w:t>
      </w:r>
      <w:bookmarkEnd w:id="38"/>
      <w:bookmarkEnd w:id="39"/>
    </w:p>
    <w:p>
      <w:pPr>
        <w:pStyle w:val="5"/>
        <w:keepNext w:val="0"/>
        <w:keepLines w:val="0"/>
        <w:numPr>
          <w:ilvl w:val="1"/>
          <w:numId w:val="3"/>
        </w:numPr>
        <w:spacing w:before="0" w:after="0" w:line="480" w:lineRule="exact"/>
        <w:ind w:left="6" w:firstLine="527" w:firstLineChars="0"/>
      </w:pPr>
      <w:r>
        <w:rPr>
          <w:rFonts w:hint="eastAsia" w:ascii="仿宋_GB2312" w:hAnsi="仿宋_GB2312" w:eastAsia="仿宋_GB2312" w:cs="仿宋_GB2312"/>
          <w:szCs w:val="28"/>
        </w:rPr>
        <w:t>违反本承诺书约定条款视为违约，</w:t>
      </w:r>
      <w:r>
        <w:rPr>
          <w:rFonts w:hint="eastAsia" w:ascii="仿宋_GB2312" w:hAnsi="仿宋_GB2312" w:eastAsia="仿宋_GB2312" w:cs="仿宋_GB2312"/>
          <w:szCs w:val="28"/>
          <w:lang w:val="en-US" w:eastAsia="zh-CN"/>
        </w:rPr>
        <w:t>将</w:t>
      </w:r>
      <w:r>
        <w:rPr>
          <w:rFonts w:hint="eastAsia" w:ascii="仿宋_GB2312" w:hAnsi="仿宋_GB2312" w:eastAsia="仿宋_GB2312" w:cs="仿宋_GB2312"/>
          <w:szCs w:val="28"/>
        </w:rPr>
        <w:t>按照</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要求承担违约责任。</w:t>
      </w:r>
    </w:p>
    <w:p>
      <w:pPr>
        <w:pStyle w:val="5"/>
        <w:keepNext w:val="0"/>
        <w:keepLines w:val="0"/>
        <w:numPr>
          <w:ilvl w:val="1"/>
          <w:numId w:val="3"/>
        </w:numPr>
        <w:spacing w:before="0" w:after="0" w:line="480" w:lineRule="exact"/>
        <w:ind w:left="6" w:firstLine="527" w:firstLineChars="0"/>
        <w:rPr>
          <w:rFonts w:ascii="仿宋_GB2312" w:hAnsi="仿宋_GB2312" w:eastAsia="仿宋_GB2312" w:cs="仿宋_GB2312"/>
          <w:szCs w:val="28"/>
        </w:rPr>
      </w:pPr>
      <w:r>
        <w:rPr>
          <w:rFonts w:hint="eastAsia" w:ascii="仿宋_GB2312" w:hAnsi="仿宋_GB2312" w:eastAsia="仿宋_GB2312" w:cs="仿宋_GB2312"/>
          <w:szCs w:val="28"/>
          <w:lang w:val="en-US" w:eastAsia="zh-CN"/>
        </w:rPr>
        <w:t>本虚拟电厂运营商若</w:t>
      </w:r>
      <w:r>
        <w:rPr>
          <w:rFonts w:hint="eastAsia" w:ascii="仿宋_GB2312" w:hAnsi="仿宋_GB2312" w:eastAsia="仿宋_GB2312" w:cs="仿宋_GB2312"/>
          <w:szCs w:val="28"/>
        </w:rPr>
        <w:t>存在长期未达到真实调节能力或实际响应处于较大偏差等情形的，</w:t>
      </w:r>
      <w:r>
        <w:rPr>
          <w:rFonts w:hint="eastAsia" w:ascii="仿宋_GB2312" w:hAnsi="仿宋_GB2312" w:eastAsia="仿宋_GB2312" w:cs="仿宋_GB2312"/>
          <w:szCs w:val="28"/>
          <w:lang w:val="en-US" w:eastAsia="zh-CN"/>
        </w:rPr>
        <w:t>可由管理中心</w:t>
      </w:r>
      <w:r>
        <w:rPr>
          <w:rFonts w:hint="eastAsia" w:ascii="仿宋_GB2312" w:hAnsi="仿宋_GB2312" w:eastAsia="仿宋_GB2312" w:cs="仿宋_GB2312"/>
          <w:szCs w:val="28"/>
        </w:rPr>
        <w:t>取消虚拟电厂参与资格</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lang w:val="en-US" w:eastAsia="zh-CN"/>
        </w:rPr>
        <w:t>具体规则遵循《深圳市虚拟电厂精准响应管理办法》</w:t>
      </w:r>
      <w:r>
        <w:rPr>
          <w:rFonts w:hint="eastAsia" w:ascii="仿宋_GB2312" w:hAnsi="仿宋_GB2312" w:eastAsia="仿宋_GB2312" w:cs="仿宋_GB2312"/>
          <w:szCs w:val="28"/>
        </w:rPr>
        <w:t>。</w:t>
      </w:r>
    </w:p>
    <w:p>
      <w:pPr>
        <w:pStyle w:val="4"/>
        <w:numPr>
          <w:ilvl w:val="0"/>
          <w:numId w:val="3"/>
        </w:numPr>
      </w:pPr>
      <w:bookmarkStart w:id="40" w:name="_Toc20830"/>
      <w:bookmarkStart w:id="41" w:name="_Toc131784642"/>
      <w:bookmarkStart w:id="42" w:name="_Toc1329"/>
      <w:bookmarkStart w:id="43" w:name="_Toc15984"/>
      <w:r>
        <w:rPr>
          <w:rFonts w:hint="eastAsia"/>
        </w:rPr>
        <w:t>承诺书生效和期限</w:t>
      </w:r>
      <w:bookmarkEnd w:id="40"/>
      <w:bookmarkEnd w:id="41"/>
      <w:bookmarkEnd w:id="42"/>
      <w:bookmarkEnd w:id="43"/>
    </w:p>
    <w:p>
      <w:pPr>
        <w:pStyle w:val="5"/>
        <w:keepNext w:val="0"/>
        <w:numPr>
          <w:ilvl w:val="1"/>
          <w:numId w:val="3"/>
        </w:numPr>
        <w:spacing w:before="0" w:after="0" w:line="480" w:lineRule="exact"/>
        <w:ind w:left="0" w:firstLine="420"/>
        <w:rPr>
          <w:rFonts w:ascii="仿宋_GB2312" w:hAnsi="仿宋_GB2312" w:eastAsia="仿宋_GB2312" w:cs="仿宋_GB2312"/>
          <w:szCs w:val="28"/>
        </w:rPr>
      </w:pPr>
      <w:r>
        <w:rPr>
          <w:rFonts w:hint="eastAsia" w:ascii="仿宋_GB2312" w:hAnsi="仿宋_GB2312" w:eastAsia="仿宋_GB2312" w:cs="仿宋_GB2312"/>
          <w:szCs w:val="28"/>
        </w:rPr>
        <w:t>本承诺书经法定代表人（负责人）或其授权代表签署并加盖公章或合同专用章后生效。</w:t>
      </w:r>
    </w:p>
    <w:p>
      <w:pPr>
        <w:pStyle w:val="5"/>
        <w:keepNext w:val="0"/>
        <w:numPr>
          <w:ilvl w:val="1"/>
          <w:numId w:val="3"/>
        </w:numPr>
        <w:spacing w:before="0" w:after="0" w:line="480" w:lineRule="exact"/>
        <w:ind w:left="0" w:firstLine="420"/>
        <w:rPr>
          <w:rFonts w:ascii="仿宋_GB2312" w:hAnsi="仿宋_GB2312" w:eastAsia="仿宋_GB2312" w:cs="仿宋_GB2312"/>
          <w:szCs w:val="28"/>
        </w:rPr>
      </w:pPr>
      <w:r>
        <w:rPr>
          <w:rFonts w:hint="eastAsia" w:ascii="仿宋_GB2312" w:hAnsi="仿宋_GB2312" w:eastAsia="仿宋_GB2312" w:cs="仿宋_GB2312"/>
          <w:szCs w:val="28"/>
        </w:rPr>
        <w:t>本承诺书期限，自签字盖章之日生效，有效期</w:t>
      </w:r>
      <w:r>
        <w:rPr>
          <w:rFonts w:hint="eastAsia" w:ascii="仿宋_GB2312" w:hAnsi="仿宋_GB2312" w:eastAsia="仿宋_GB2312" w:cs="仿宋_GB2312"/>
          <w:szCs w:val="28"/>
          <w:u w:val="single"/>
        </w:rPr>
        <w:t>1</w:t>
      </w:r>
      <w:r>
        <w:rPr>
          <w:rFonts w:hint="eastAsia" w:ascii="仿宋_GB2312" w:hAnsi="仿宋_GB2312" w:eastAsia="仿宋_GB2312" w:cs="仿宋_GB2312"/>
          <w:szCs w:val="28"/>
        </w:rPr>
        <w:t>年。</w:t>
      </w:r>
    </w:p>
    <w:p>
      <w:pPr>
        <w:pStyle w:val="5"/>
        <w:numPr>
          <w:ilvl w:val="1"/>
          <w:numId w:val="3"/>
        </w:numPr>
        <w:spacing w:before="0" w:after="0" w:line="480" w:lineRule="exact"/>
        <w:ind w:left="0" w:firstLine="420"/>
        <w:rPr>
          <w:rFonts w:ascii="仿宋_GB2312" w:hAnsi="仿宋_GB2312" w:eastAsia="仿宋_GB2312" w:cs="仿宋_GB2312"/>
          <w:szCs w:val="28"/>
        </w:rPr>
      </w:pPr>
      <w:r>
        <w:rPr>
          <w:rFonts w:hint="eastAsia" w:ascii="仿宋_GB2312" w:hAnsi="仿宋_GB2312" w:eastAsia="仿宋_GB2312" w:cs="仿宋_GB2312"/>
          <w:szCs w:val="28"/>
        </w:rPr>
        <w:t>本承诺书期限届满前日，若无异议，本承诺书到期后自动延期</w:t>
      </w:r>
      <w:r>
        <w:rPr>
          <w:rFonts w:ascii="仿宋_GB2312" w:hAnsi="仿宋_GB2312" w:eastAsia="仿宋_GB2312" w:cs="仿宋_GB2312"/>
          <w:szCs w:val="28"/>
          <w:u w:val="single"/>
        </w:rPr>
        <w:t>1</w:t>
      </w:r>
      <w:r>
        <w:rPr>
          <w:rFonts w:hint="eastAsia" w:ascii="仿宋_GB2312" w:hAnsi="仿宋_GB2312" w:eastAsia="仿宋_GB2312" w:cs="仿宋_GB2312"/>
          <w:szCs w:val="28"/>
        </w:rPr>
        <w:t>年，延期次数不限；若存有异议，</w:t>
      </w:r>
      <w:r>
        <w:rPr>
          <w:rFonts w:hint="eastAsia" w:ascii="仿宋_GB2312" w:hAnsi="仿宋_GB2312" w:eastAsia="仿宋_GB2312" w:cs="仿宋_GB2312"/>
          <w:szCs w:val="28"/>
          <w:lang w:val="en-US" w:eastAsia="zh-CN"/>
        </w:rPr>
        <w:t>将</w:t>
      </w:r>
      <w:r>
        <w:rPr>
          <w:rFonts w:hint="eastAsia" w:ascii="仿宋_GB2312" w:hAnsi="仿宋_GB2312" w:eastAsia="仿宋_GB2312" w:cs="仿宋_GB2312"/>
          <w:szCs w:val="28"/>
        </w:rPr>
        <w:t>在承诺书期限届满前</w:t>
      </w:r>
      <w:r>
        <w:rPr>
          <w:rFonts w:ascii="仿宋_GB2312" w:hAnsi="仿宋_GB2312" w:eastAsia="仿宋_GB2312" w:cs="仿宋_GB2312"/>
          <w:szCs w:val="28"/>
          <w:u w:val="single"/>
        </w:rPr>
        <w:t>30</w:t>
      </w:r>
      <w:r>
        <w:rPr>
          <w:rFonts w:hint="eastAsia" w:ascii="仿宋_GB2312" w:hAnsi="仿宋_GB2312" w:eastAsia="仿宋_GB2312" w:cs="仿宋_GB2312"/>
          <w:szCs w:val="28"/>
        </w:rPr>
        <w:t>日书面通知</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w:t>
      </w:r>
    </w:p>
    <w:p>
      <w:pPr>
        <w:pStyle w:val="4"/>
        <w:numPr>
          <w:ilvl w:val="0"/>
          <w:numId w:val="3"/>
        </w:numPr>
      </w:pPr>
      <w:bookmarkStart w:id="44" w:name="_Toc131784643"/>
      <w:bookmarkStart w:id="45" w:name="_Toc3110"/>
      <w:bookmarkStart w:id="46" w:name="_Toc1178"/>
      <w:bookmarkStart w:id="47" w:name="_Toc21299"/>
      <w:r>
        <w:rPr>
          <w:rFonts w:hint="eastAsia"/>
        </w:rPr>
        <w:t>承诺书变更、转让和终止</w:t>
      </w:r>
      <w:bookmarkEnd w:id="44"/>
      <w:bookmarkEnd w:id="45"/>
      <w:bookmarkEnd w:id="46"/>
      <w:bookmarkEnd w:id="47"/>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本承诺书的任何变更、修改和补充必须以书面形式进行。生效条件同第13.1条。</w:t>
      </w:r>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lang w:val="en-US" w:eastAsia="zh-CN"/>
        </w:rPr>
        <w:t>本</w:t>
      </w:r>
      <w:r>
        <w:rPr>
          <w:rFonts w:hint="eastAsia" w:ascii="仿宋_GB2312" w:hAnsi="仿宋_GB2312" w:eastAsia="仿宋_GB2312" w:cs="仿宋_GB2312"/>
          <w:szCs w:val="28"/>
        </w:rPr>
        <w:t>虚拟电厂运营商无权向第三方转让本承诺书项下所有或部分的权利或义务。</w:t>
      </w:r>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在本承诺书的有效期限内，有下列情形之一的，同意对本承诺书进行相应调整和修改：</w:t>
      </w:r>
    </w:p>
    <w:p>
      <w:pPr>
        <w:pStyle w:val="6"/>
        <w:keepNext w:val="0"/>
        <w:numPr>
          <w:ilvl w:val="2"/>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国家有关法律、法规、规章以及政策变动。</w:t>
      </w:r>
    </w:p>
    <w:p>
      <w:pPr>
        <w:pStyle w:val="6"/>
        <w:keepNext w:val="0"/>
        <w:numPr>
          <w:ilvl w:val="2"/>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本承诺书内容与国家电力监管机构颁布实施的有关强制性规则、办法、规定等相抵触。</w:t>
      </w:r>
    </w:p>
    <w:p>
      <w:pPr>
        <w:pStyle w:val="6"/>
        <w:keepNext w:val="0"/>
        <w:numPr>
          <w:ilvl w:val="2"/>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其他情形：</w:t>
      </w:r>
      <w:r>
        <w:rPr>
          <w:rFonts w:hint="eastAsia" w:ascii="仿宋_GB2312" w:hAnsi="仿宋_GB2312" w:eastAsia="仿宋_GB2312" w:cs="仿宋_GB2312"/>
          <w:szCs w:val="28"/>
          <w:u w:val="single"/>
        </w:rPr>
        <w:t>　　　　　/　　　　　　</w:t>
      </w:r>
      <w:r>
        <w:rPr>
          <w:rFonts w:hint="eastAsia" w:ascii="仿宋_GB2312" w:hAnsi="仿宋_GB2312" w:eastAsia="仿宋_GB2312" w:cs="仿宋_GB2312"/>
          <w:szCs w:val="28"/>
        </w:rPr>
        <w:t>。</w:t>
      </w:r>
    </w:p>
    <w:p>
      <w:pPr>
        <w:pStyle w:val="5"/>
        <w:keepNext w:val="0"/>
        <w:numPr>
          <w:ilvl w:val="1"/>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承诺书解除</w:t>
      </w:r>
    </w:p>
    <w:p>
      <w:pPr>
        <w:ind w:firstLine="560" w:firstLineChars="200"/>
        <w:rPr>
          <w:rFonts w:ascii="仿宋_GB2312" w:hAnsi="仿宋" w:eastAsia="仿宋_GB2312"/>
          <w:sz w:val="28"/>
        </w:rPr>
      </w:pPr>
      <w:r>
        <w:rPr>
          <w:rFonts w:hint="eastAsia" w:ascii="仿宋_GB2312" w:hAnsi="仿宋" w:eastAsia="仿宋_GB2312"/>
          <w:sz w:val="28"/>
        </w:rPr>
        <w:t>如发生下列事件之一的，则</w:t>
      </w:r>
      <w:r>
        <w:rPr>
          <w:rFonts w:hint="eastAsia" w:ascii="仿宋_GB2312" w:hAnsi="仿宋" w:eastAsia="仿宋_GB2312"/>
          <w:sz w:val="28"/>
          <w:lang w:val="en-US" w:eastAsia="zh-CN"/>
        </w:rPr>
        <w:t>管理中心</w:t>
      </w:r>
      <w:r>
        <w:rPr>
          <w:rFonts w:hint="eastAsia" w:ascii="仿宋_GB2312" w:hAnsi="仿宋" w:eastAsia="仿宋_GB2312"/>
          <w:sz w:val="28"/>
        </w:rPr>
        <w:t>有权终止本承诺书：</w:t>
      </w:r>
    </w:p>
    <w:p>
      <w:pPr>
        <w:pStyle w:val="6"/>
        <w:keepNext w:val="0"/>
        <w:numPr>
          <w:ilvl w:val="2"/>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虚拟电厂运营商破产、清算或被吊销营业执照。</w:t>
      </w:r>
    </w:p>
    <w:p>
      <w:pPr>
        <w:pStyle w:val="6"/>
        <w:keepNext w:val="0"/>
        <w:numPr>
          <w:ilvl w:val="2"/>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虚拟电厂运营商合并或将其所有或大部分资产、转移给另一实体，而该存续的企业不能承担其在本承诺书项下的所有义务。虚拟电厂运营商主要功率可控设施被拍卖、变卖或转让的。</w:t>
      </w:r>
    </w:p>
    <w:p>
      <w:pPr>
        <w:pStyle w:val="6"/>
        <w:keepNext w:val="0"/>
        <w:numPr>
          <w:ilvl w:val="2"/>
          <w:numId w:val="3"/>
        </w:numPr>
        <w:spacing w:before="0" w:after="0" w:line="480" w:lineRule="exact"/>
        <w:ind w:left="0"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其他解除</w:t>
      </w:r>
      <w:r>
        <w:rPr>
          <w:rFonts w:hint="eastAsia" w:ascii="仿宋_GB2312" w:hAnsi="仿宋_GB2312" w:eastAsia="仿宋_GB2312" w:cs="仿宋_GB2312"/>
          <w:szCs w:val="28"/>
          <w:lang w:val="en-US" w:eastAsia="zh-CN"/>
        </w:rPr>
        <w:t>承诺书</w:t>
      </w:r>
      <w:r>
        <w:rPr>
          <w:rFonts w:hint="eastAsia" w:ascii="仿宋_GB2312" w:hAnsi="仿宋_GB2312" w:eastAsia="仿宋_GB2312" w:cs="仿宋_GB2312"/>
          <w:szCs w:val="28"/>
        </w:rPr>
        <w:t>的事项：</w:t>
      </w:r>
      <w:r>
        <w:rPr>
          <w:rFonts w:hint="eastAsia" w:ascii="仿宋_GB2312" w:hAnsi="仿宋_GB2312" w:eastAsia="仿宋_GB2312" w:cs="仿宋_GB2312"/>
          <w:szCs w:val="28"/>
          <w:u w:val="single"/>
        </w:rPr>
        <w:t xml:space="preserve">　　　/　　　　 </w:t>
      </w:r>
      <w:r>
        <w:rPr>
          <w:rFonts w:hint="eastAsia" w:ascii="仿宋_GB2312" w:hAnsi="仿宋_GB2312" w:eastAsia="仿宋_GB2312" w:cs="仿宋_GB2312"/>
          <w:szCs w:val="28"/>
        </w:rPr>
        <w:t>。</w:t>
      </w:r>
    </w:p>
    <w:p>
      <w:pPr>
        <w:pStyle w:val="4"/>
        <w:numPr>
          <w:ilvl w:val="0"/>
          <w:numId w:val="3"/>
        </w:numPr>
      </w:pPr>
      <w:bookmarkStart w:id="48" w:name="_Toc212"/>
      <w:bookmarkStart w:id="49" w:name="_Toc10589"/>
      <w:bookmarkStart w:id="50" w:name="_Toc131784644"/>
      <w:bookmarkStart w:id="51" w:name="_Toc27229"/>
      <w:r>
        <w:rPr>
          <w:rFonts w:hint="eastAsia"/>
        </w:rPr>
        <w:t>适用法律</w:t>
      </w:r>
      <w:bookmarkEnd w:id="48"/>
      <w:bookmarkEnd w:id="49"/>
      <w:bookmarkEnd w:id="50"/>
      <w:bookmarkEnd w:id="51"/>
    </w:p>
    <w:p>
      <w:pPr>
        <w:ind w:firstLine="560" w:firstLineChars="200"/>
        <w:rPr>
          <w:rFonts w:ascii="仿宋_GB2312" w:hAnsi="仿宋" w:eastAsia="仿宋_GB2312"/>
          <w:sz w:val="28"/>
        </w:rPr>
      </w:pPr>
      <w:r>
        <w:rPr>
          <w:rFonts w:hint="eastAsia" w:ascii="仿宋_GB2312" w:hAnsi="仿宋" w:eastAsia="仿宋_GB2312"/>
          <w:sz w:val="28"/>
        </w:rPr>
        <w:t>本承诺书的订立、效力、解释、和履行均适用中华人民共和国法律。</w:t>
      </w:r>
    </w:p>
    <w:p>
      <w:pPr>
        <w:pStyle w:val="4"/>
        <w:numPr>
          <w:ilvl w:val="0"/>
          <w:numId w:val="3"/>
        </w:numPr>
      </w:pPr>
      <w:bookmarkStart w:id="52" w:name="_Toc131784645"/>
      <w:bookmarkStart w:id="53" w:name="_Toc12940"/>
      <w:bookmarkStart w:id="54" w:name="_Toc15536"/>
      <w:bookmarkStart w:id="55" w:name="_Toc5353"/>
      <w:r>
        <w:rPr>
          <w:rFonts w:hint="eastAsia"/>
        </w:rPr>
        <w:t>其他</w:t>
      </w:r>
      <w:bookmarkEnd w:id="52"/>
      <w:bookmarkEnd w:id="53"/>
      <w:bookmarkEnd w:id="54"/>
      <w:bookmarkEnd w:id="55"/>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我方保证对从</w:t>
      </w:r>
      <w:r>
        <w:rPr>
          <w:rFonts w:hint="eastAsia" w:ascii="仿宋_GB2312" w:hAnsi="仿宋_GB2312" w:eastAsia="仿宋_GB2312" w:cs="仿宋_GB2312"/>
          <w:szCs w:val="28"/>
          <w:lang w:eastAsia="zh-CN"/>
        </w:rPr>
        <w:t>管理中心</w:t>
      </w:r>
      <w:r>
        <w:rPr>
          <w:rFonts w:hint="eastAsia" w:ascii="仿宋_GB2312" w:hAnsi="仿宋_GB2312" w:eastAsia="仿宋_GB2312" w:cs="仿宋_GB2312"/>
          <w:szCs w:val="28"/>
        </w:rPr>
        <w:t>取得且无法自公开渠道获得的资料和文件予以保密。未经同意，不得向任何第三方泄露该资料和文件的全部或部分内容。但国家另有规定的除外。</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承诺文本</w:t>
      </w:r>
    </w:p>
    <w:p>
      <w:pPr>
        <w:numPr>
          <w:ilvl w:val="1"/>
          <w:numId w:val="0"/>
        </w:num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本承诺书一式</w:t>
      </w:r>
      <w:r>
        <w:rPr>
          <w:rFonts w:hint="eastAsia" w:ascii="仿宋_GB2312" w:hAnsi="仿宋_GB2312" w:eastAsia="仿宋_GB2312" w:cs="仿宋_GB2312"/>
          <w:sz w:val="28"/>
          <w:szCs w:val="28"/>
          <w:u w:val="single"/>
        </w:rPr>
        <w:t>　</w:t>
      </w:r>
      <w:r>
        <w:rPr>
          <w:rFonts w:ascii="仿宋_GB2312" w:hAnsi="仿宋_GB2312" w:eastAsia="仿宋_GB2312" w:cs="仿宋_GB2312"/>
          <w:sz w:val="28"/>
          <w:szCs w:val="28"/>
          <w:u w:val="single"/>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lang w:eastAsia="zh-CN"/>
        </w:rPr>
        <w:t>管理中心</w:t>
      </w:r>
      <w:r>
        <w:rPr>
          <w:rFonts w:hint="eastAsia" w:ascii="仿宋_GB2312" w:hAnsi="仿宋_GB2312" w:eastAsia="仿宋_GB2312" w:cs="仿宋_GB2312"/>
          <w:sz w:val="28"/>
          <w:szCs w:val="28"/>
        </w:rPr>
        <w:t>执</w:t>
      </w:r>
      <w:r>
        <w:rPr>
          <w:rFonts w:hint="eastAsia" w:ascii="仿宋_GB2312" w:hAnsi="仿宋_GB2312" w:eastAsia="仿宋_GB2312" w:cs="仿宋_GB2312"/>
          <w:sz w:val="28"/>
          <w:szCs w:val="28"/>
          <w:u w:val="single"/>
        </w:rPr>
        <w:t>　</w:t>
      </w:r>
      <w:r>
        <w:rPr>
          <w:rFonts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lang w:val="en-US" w:eastAsia="zh-CN"/>
        </w:rPr>
        <w:t>本方</w:t>
      </w:r>
      <w:r>
        <w:rPr>
          <w:rFonts w:hint="eastAsia" w:ascii="仿宋_GB2312" w:hAnsi="仿宋_GB2312" w:eastAsia="仿宋_GB2312" w:cs="仿宋_GB2312"/>
          <w:sz w:val="28"/>
          <w:szCs w:val="28"/>
        </w:rPr>
        <w:t>执</w:t>
      </w:r>
      <w:r>
        <w:rPr>
          <w:rFonts w:hint="eastAsia" w:ascii="仿宋_GB2312" w:hAnsi="仿宋_GB2312" w:eastAsia="仿宋_GB2312" w:cs="仿宋_GB2312"/>
          <w:sz w:val="28"/>
          <w:szCs w:val="28"/>
          <w:u w:val="single"/>
        </w:rPr>
        <w:t>　</w:t>
      </w:r>
      <w:r>
        <w:rPr>
          <w:rFonts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份，送深圳市发展改革委备案</w:t>
      </w:r>
      <w:r>
        <w:rPr>
          <w:rFonts w:hint="eastAsia" w:ascii="仿宋_GB2312" w:hAnsi="仿宋_GB2312" w:eastAsia="仿宋_GB2312" w:cs="仿宋_GB2312"/>
          <w:sz w:val="28"/>
          <w:szCs w:val="28"/>
          <w:u w:val="single"/>
        </w:rPr>
        <w:t>　</w:t>
      </w:r>
      <w:r>
        <w:rPr>
          <w:rFonts w:ascii="仿宋_GB2312" w:hAnsi="仿宋_GB2312" w:eastAsia="仿宋_GB2312" w:cs="仿宋_GB2312"/>
          <w:sz w:val="28"/>
          <w:szCs w:val="28"/>
          <w:u w:val="single"/>
        </w:rPr>
        <w:t>1</w:t>
      </w:r>
      <w:r>
        <w:rPr>
          <w:rFonts w:hint="eastAsia" w:ascii="仿宋_GB2312" w:hAnsi="仿宋_GB2312" w:eastAsia="仿宋_GB2312" w:cs="仿宋_GB2312"/>
          <w:sz w:val="28"/>
          <w:szCs w:val="28"/>
        </w:rPr>
        <w:t>份，或按照有关规定实施电子备案。</w:t>
      </w:r>
    </w:p>
    <w:p>
      <w:pPr>
        <w:pStyle w:val="5"/>
        <w:keepNext w:val="0"/>
        <w:numPr>
          <w:ilvl w:val="1"/>
          <w:numId w:val="3"/>
        </w:numPr>
        <w:spacing w:before="0" w:after="0" w:line="480" w:lineRule="exact"/>
        <w:ind w:left="7" w:firstLine="528"/>
        <w:rPr>
          <w:rFonts w:ascii="仿宋_GB2312" w:hAnsi="仿宋_GB2312" w:eastAsia="仿宋_GB2312" w:cs="仿宋_GB2312"/>
          <w:szCs w:val="28"/>
        </w:rPr>
      </w:pPr>
      <w:r>
        <w:rPr>
          <w:rFonts w:hint="eastAsia" w:ascii="仿宋_GB2312" w:hAnsi="仿宋_GB2312" w:eastAsia="仿宋_GB2312" w:cs="仿宋_GB2312"/>
          <w:szCs w:val="28"/>
        </w:rPr>
        <w:t>特别约定</w:t>
      </w:r>
    </w:p>
    <w:p>
      <w:pPr>
        <w:numPr>
          <w:ilvl w:val="1"/>
          <w:numId w:val="0"/>
        </w:numPr>
        <w:spacing w:line="480" w:lineRule="exact"/>
        <w:ind w:left="560"/>
        <w:rPr>
          <w:rFonts w:ascii="仿宋_GB2312" w:hAnsi="仿宋_GB2312" w:eastAsia="仿宋_GB2312" w:cs="仿宋_GB2312"/>
          <w:sz w:val="28"/>
          <w:szCs w:val="28"/>
          <w:u w:val="single"/>
        </w:rPr>
      </w:pPr>
    </w:p>
    <w:p>
      <w:pPr>
        <w:numPr>
          <w:ilvl w:val="1"/>
          <w:numId w:val="0"/>
        </w:num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rPr>
          <w:rFonts w:ascii="仿宋_GB2312" w:hAnsi="仿宋_GB2312" w:eastAsia="仿宋_GB2312" w:cs="仿宋_GB2312"/>
          <w:sz w:val="28"/>
          <w:szCs w:val="28"/>
        </w:rPr>
        <w:sectPr>
          <w:pgSz w:w="11906" w:h="16838"/>
          <w:pgMar w:top="1440" w:right="1800" w:bottom="1440" w:left="1800" w:header="851" w:footer="992" w:gutter="0"/>
          <w:pgNumType w:start="1"/>
          <w:cols w:space="720" w:num="1"/>
          <w:docGrid w:type="lines" w:linePitch="312" w:charSpace="0"/>
        </w:sectPr>
      </w:pPr>
    </w:p>
    <w:p>
      <w:pPr>
        <w:snapToGrid w:val="0"/>
        <w:spacing w:line="480" w:lineRule="exact"/>
        <w:jc w:val="center"/>
        <w:rPr>
          <w:rFonts w:ascii="华文中宋" w:hAnsi="华文中宋" w:eastAsia="华文中宋"/>
          <w:b/>
          <w:sz w:val="32"/>
        </w:rPr>
      </w:pPr>
      <w:bookmarkStart w:id="56" w:name="_Toc21391"/>
      <w:r>
        <w:rPr>
          <w:rFonts w:hint="eastAsia" w:ascii="华文中宋" w:hAnsi="华文中宋" w:eastAsia="华文中宋"/>
          <w:b/>
          <w:sz w:val="32"/>
        </w:rPr>
        <w:t>签署页</w:t>
      </w:r>
      <w:bookmarkEnd w:id="56"/>
    </w:p>
    <w:p>
      <w:pPr>
        <w:snapToGrid w:val="0"/>
        <w:spacing w:line="480" w:lineRule="exact"/>
        <w:jc w:val="center"/>
        <w:rPr>
          <w:rFonts w:ascii="华文中宋" w:hAnsi="华文中宋" w:eastAsia="华文中宋"/>
          <w:b/>
          <w:sz w:val="32"/>
        </w:rPr>
      </w:pPr>
    </w:p>
    <w:tbl>
      <w:tblPr>
        <w:tblStyle w:val="28"/>
        <w:tblW w:w="7923" w:type="dxa"/>
        <w:jc w:val="center"/>
        <w:tblInd w:w="0" w:type="dxa"/>
        <w:tblLayout w:type="fixed"/>
        <w:tblCellMar>
          <w:top w:w="0" w:type="dxa"/>
          <w:left w:w="108" w:type="dxa"/>
          <w:bottom w:w="0" w:type="dxa"/>
          <w:right w:w="108" w:type="dxa"/>
        </w:tblCellMar>
      </w:tblPr>
      <w:tblGrid>
        <w:gridCol w:w="7923"/>
      </w:tblGrid>
      <w:tr>
        <w:tblPrEx>
          <w:tblLayout w:type="fixed"/>
          <w:tblCellMar>
            <w:top w:w="0" w:type="dxa"/>
            <w:left w:w="108" w:type="dxa"/>
            <w:bottom w:w="0" w:type="dxa"/>
            <w:right w:w="108" w:type="dxa"/>
          </w:tblCellMar>
        </w:tblPrEx>
        <w:trPr>
          <w:cantSplit/>
          <w:trHeight w:val="316" w:hRule="atLeast"/>
          <w:jc w:val="center"/>
        </w:trPr>
        <w:tc>
          <w:tcPr>
            <w:tcW w:w="7923" w:type="dxa"/>
            <w:vAlign w:val="center"/>
          </w:tcPr>
          <w:p>
            <w:pPr>
              <w:snapToGrid w:val="0"/>
              <w:spacing w:line="480" w:lineRule="exact"/>
              <w:rPr>
                <w:rFonts w:hint="eastAsia" w:ascii="仿宋" w:hAnsi="仿宋" w:eastAsia="仿宋"/>
                <w:b/>
                <w:bCs/>
                <w:sz w:val="28"/>
              </w:rPr>
            </w:pPr>
            <w:r>
              <w:rPr>
                <w:rFonts w:hint="eastAsia" w:ascii="仿宋" w:hAnsi="仿宋" w:eastAsia="仿宋"/>
                <w:b/>
                <w:bCs/>
                <w:sz w:val="28"/>
                <w:lang w:val="en-US" w:eastAsia="zh-CN"/>
              </w:rPr>
              <w:t>承诺方</w:t>
            </w:r>
            <w:r>
              <w:rPr>
                <w:rFonts w:hint="eastAsia" w:ascii="仿宋" w:hAnsi="仿宋" w:eastAsia="仿宋"/>
                <w:b/>
                <w:bCs/>
                <w:sz w:val="28"/>
              </w:rPr>
              <w:t>： ___________________________</w:t>
            </w:r>
          </w:p>
          <w:p>
            <w:pPr>
              <w:snapToGrid w:val="0"/>
              <w:spacing w:line="480" w:lineRule="exact"/>
              <w:rPr>
                <w:rFonts w:hint="eastAsia" w:ascii="仿宋" w:hAnsi="仿宋" w:eastAsia="仿宋"/>
                <w:b/>
                <w:bCs/>
                <w:sz w:val="28"/>
              </w:rPr>
            </w:pPr>
            <w:r>
              <w:rPr>
                <w:rFonts w:hint="eastAsia" w:ascii="仿宋" w:hAnsi="仿宋" w:eastAsia="仿宋"/>
                <w:b/>
                <w:bCs/>
                <w:sz w:val="28"/>
              </w:rPr>
              <w:t>（盖章）</w:t>
            </w:r>
          </w:p>
          <w:p>
            <w:pPr>
              <w:pStyle w:val="2"/>
              <w:rPr>
                <w:rFonts w:hint="eastAsia"/>
              </w:rPr>
            </w:pPr>
          </w:p>
          <w:p>
            <w:pPr>
              <w:pStyle w:val="3"/>
            </w:pPr>
          </w:p>
        </w:tc>
      </w:tr>
      <w:tr>
        <w:tblPrEx>
          <w:tblLayout w:type="fixed"/>
          <w:tblCellMar>
            <w:top w:w="0" w:type="dxa"/>
            <w:left w:w="108" w:type="dxa"/>
            <w:bottom w:w="0" w:type="dxa"/>
            <w:right w:w="108" w:type="dxa"/>
          </w:tblCellMar>
        </w:tblPrEx>
        <w:trPr>
          <w:cantSplit/>
          <w:trHeight w:val="147" w:hRule="atLeast"/>
          <w:jc w:val="center"/>
        </w:trPr>
        <w:tc>
          <w:tcPr>
            <w:tcW w:w="7923" w:type="dxa"/>
            <w:vAlign w:val="center"/>
          </w:tcPr>
          <w:p>
            <w:pPr>
              <w:snapToGrid w:val="0"/>
              <w:spacing w:line="480" w:lineRule="exact"/>
              <w:rPr>
                <w:rFonts w:ascii="仿宋" w:hAnsi="仿宋" w:eastAsia="仿宋"/>
                <w:b/>
                <w:bCs/>
                <w:sz w:val="28"/>
              </w:rPr>
            </w:pPr>
            <w:r>
              <w:rPr>
                <w:rFonts w:hint="eastAsia" w:ascii="仿宋" w:hAnsi="仿宋" w:eastAsia="仿宋"/>
                <w:b/>
                <w:bCs/>
                <w:sz w:val="28"/>
              </w:rPr>
              <w:t>法定代表人（负责人）或授权代表（签字）：</w:t>
            </w:r>
          </w:p>
        </w:tc>
      </w:tr>
      <w:tr>
        <w:tblPrEx>
          <w:tblLayout w:type="fixed"/>
          <w:tblCellMar>
            <w:top w:w="0" w:type="dxa"/>
            <w:left w:w="108" w:type="dxa"/>
            <w:bottom w:w="0" w:type="dxa"/>
            <w:right w:w="108" w:type="dxa"/>
          </w:tblCellMar>
        </w:tblPrEx>
        <w:trPr>
          <w:cantSplit/>
          <w:trHeight w:val="562" w:hRule="atLeast"/>
          <w:jc w:val="center"/>
        </w:trPr>
        <w:tc>
          <w:tcPr>
            <w:tcW w:w="7923" w:type="dxa"/>
            <w:vAlign w:val="center"/>
          </w:tcPr>
          <w:p>
            <w:pPr>
              <w:snapToGrid w:val="0"/>
              <w:spacing w:line="480" w:lineRule="exact"/>
              <w:rPr>
                <w:rFonts w:ascii="仿宋" w:hAnsi="仿宋" w:eastAsia="仿宋"/>
                <w:b/>
                <w:bCs/>
                <w:sz w:val="28"/>
              </w:rPr>
            </w:pPr>
            <w:r>
              <w:rPr>
                <w:rFonts w:hint="eastAsia" w:ascii="仿宋" w:hAnsi="仿宋" w:eastAsia="仿宋"/>
                <w:b/>
                <w:bCs/>
                <w:sz w:val="28"/>
                <w:lang w:val="en-US" w:eastAsia="zh-CN"/>
              </w:rPr>
              <w:t>签订</w:t>
            </w:r>
            <w:r>
              <w:rPr>
                <w:rFonts w:hint="eastAsia" w:ascii="仿宋" w:hAnsi="仿宋" w:eastAsia="仿宋"/>
                <w:b/>
                <w:bCs/>
                <w:sz w:val="28"/>
              </w:rPr>
              <w:t>日期：</w:t>
            </w:r>
          </w:p>
        </w:tc>
      </w:tr>
      <w:tr>
        <w:tblPrEx>
          <w:tblLayout w:type="fixed"/>
          <w:tblCellMar>
            <w:top w:w="0" w:type="dxa"/>
            <w:left w:w="108" w:type="dxa"/>
            <w:bottom w:w="0" w:type="dxa"/>
            <w:right w:w="108" w:type="dxa"/>
          </w:tblCellMar>
        </w:tblPrEx>
        <w:trPr>
          <w:cantSplit/>
          <w:trHeight w:val="578" w:hRule="atLeast"/>
          <w:jc w:val="center"/>
        </w:trPr>
        <w:tc>
          <w:tcPr>
            <w:tcW w:w="7923" w:type="dxa"/>
            <w:vAlign w:val="center"/>
          </w:tcPr>
          <w:p>
            <w:pPr>
              <w:snapToGrid w:val="0"/>
              <w:spacing w:line="480" w:lineRule="exact"/>
              <w:rPr>
                <w:rFonts w:ascii="仿宋" w:hAnsi="仿宋" w:eastAsia="仿宋"/>
                <w:b/>
                <w:bCs/>
                <w:sz w:val="28"/>
              </w:rPr>
            </w:pPr>
            <w:r>
              <w:rPr>
                <w:rFonts w:hint="eastAsia" w:ascii="仿宋" w:hAnsi="仿宋" w:eastAsia="仿宋"/>
                <w:b/>
                <w:bCs/>
                <w:sz w:val="28"/>
                <w:lang w:val="en-US" w:eastAsia="zh-CN"/>
              </w:rPr>
              <w:t>公司</w:t>
            </w:r>
            <w:r>
              <w:rPr>
                <w:rFonts w:hint="eastAsia" w:ascii="仿宋" w:hAnsi="仿宋" w:eastAsia="仿宋"/>
                <w:b/>
                <w:bCs/>
                <w:sz w:val="28"/>
              </w:rPr>
              <w:t>地址：</w:t>
            </w:r>
          </w:p>
        </w:tc>
      </w:tr>
      <w:tr>
        <w:tblPrEx>
          <w:tblLayout w:type="fixed"/>
          <w:tblCellMar>
            <w:top w:w="0" w:type="dxa"/>
            <w:left w:w="108" w:type="dxa"/>
            <w:bottom w:w="0" w:type="dxa"/>
            <w:right w:w="108" w:type="dxa"/>
          </w:tblCellMar>
        </w:tblPrEx>
        <w:trPr>
          <w:cantSplit/>
          <w:trHeight w:val="562" w:hRule="atLeast"/>
          <w:jc w:val="center"/>
        </w:trPr>
        <w:tc>
          <w:tcPr>
            <w:tcW w:w="7923" w:type="dxa"/>
            <w:vAlign w:val="center"/>
          </w:tcPr>
          <w:p>
            <w:pPr>
              <w:snapToGrid w:val="0"/>
              <w:spacing w:line="480" w:lineRule="exact"/>
              <w:rPr>
                <w:rFonts w:ascii="仿宋" w:hAnsi="仿宋" w:eastAsia="仿宋"/>
                <w:b/>
                <w:bCs/>
                <w:sz w:val="28"/>
              </w:rPr>
            </w:pPr>
            <w:r>
              <w:rPr>
                <w:rFonts w:hint="eastAsia" w:ascii="仿宋" w:hAnsi="仿宋" w:eastAsia="仿宋"/>
                <w:b/>
                <w:bCs/>
                <w:sz w:val="28"/>
              </w:rPr>
              <w:t>联系人：</w:t>
            </w:r>
          </w:p>
        </w:tc>
      </w:tr>
      <w:tr>
        <w:tblPrEx>
          <w:tblLayout w:type="fixed"/>
          <w:tblCellMar>
            <w:top w:w="0" w:type="dxa"/>
            <w:left w:w="108" w:type="dxa"/>
            <w:bottom w:w="0" w:type="dxa"/>
            <w:right w:w="108" w:type="dxa"/>
          </w:tblCellMar>
        </w:tblPrEx>
        <w:trPr>
          <w:cantSplit/>
          <w:trHeight w:val="562" w:hRule="atLeast"/>
          <w:jc w:val="center"/>
        </w:trPr>
        <w:tc>
          <w:tcPr>
            <w:tcW w:w="7923" w:type="dxa"/>
            <w:vAlign w:val="center"/>
          </w:tcPr>
          <w:p>
            <w:pPr>
              <w:snapToGrid w:val="0"/>
              <w:spacing w:line="480" w:lineRule="exact"/>
              <w:rPr>
                <w:rFonts w:ascii="仿宋" w:hAnsi="仿宋" w:eastAsia="仿宋"/>
                <w:b/>
                <w:bCs/>
                <w:sz w:val="28"/>
              </w:rPr>
            </w:pPr>
            <w:r>
              <w:rPr>
                <w:rFonts w:hint="eastAsia" w:ascii="仿宋" w:hAnsi="仿宋" w:eastAsia="仿宋"/>
                <w:b/>
                <w:bCs/>
                <w:sz w:val="28"/>
              </w:rPr>
              <w:t>电话：</w:t>
            </w:r>
          </w:p>
        </w:tc>
      </w:tr>
      <w:tr>
        <w:tblPrEx>
          <w:tblLayout w:type="fixed"/>
          <w:tblCellMar>
            <w:top w:w="0" w:type="dxa"/>
            <w:left w:w="108" w:type="dxa"/>
            <w:bottom w:w="0" w:type="dxa"/>
            <w:right w:w="108" w:type="dxa"/>
          </w:tblCellMar>
        </w:tblPrEx>
        <w:trPr>
          <w:cantSplit/>
          <w:trHeight w:val="578" w:hRule="atLeast"/>
          <w:jc w:val="center"/>
        </w:trPr>
        <w:tc>
          <w:tcPr>
            <w:tcW w:w="7923" w:type="dxa"/>
            <w:vAlign w:val="center"/>
          </w:tcPr>
          <w:p>
            <w:pPr>
              <w:snapToGrid w:val="0"/>
              <w:spacing w:line="480" w:lineRule="exact"/>
              <w:rPr>
                <w:rFonts w:ascii="仿宋" w:hAnsi="仿宋" w:eastAsia="仿宋"/>
                <w:b/>
                <w:bCs/>
                <w:sz w:val="28"/>
              </w:rPr>
            </w:pPr>
            <w:r>
              <w:rPr>
                <w:rFonts w:hint="eastAsia" w:ascii="仿宋" w:hAnsi="仿宋" w:eastAsia="仿宋"/>
                <w:b/>
                <w:bCs/>
                <w:sz w:val="28"/>
              </w:rPr>
              <w:t>传真：</w:t>
            </w:r>
          </w:p>
        </w:tc>
      </w:tr>
      <w:tr>
        <w:tblPrEx>
          <w:tblLayout w:type="fixed"/>
          <w:tblCellMar>
            <w:top w:w="0" w:type="dxa"/>
            <w:left w:w="108" w:type="dxa"/>
            <w:bottom w:w="0" w:type="dxa"/>
            <w:right w:w="108" w:type="dxa"/>
          </w:tblCellMar>
        </w:tblPrEx>
        <w:trPr>
          <w:cantSplit/>
          <w:trHeight w:val="562" w:hRule="atLeast"/>
          <w:jc w:val="center"/>
        </w:trPr>
        <w:tc>
          <w:tcPr>
            <w:tcW w:w="7923" w:type="dxa"/>
            <w:vAlign w:val="center"/>
          </w:tcPr>
          <w:p>
            <w:pPr>
              <w:snapToGrid w:val="0"/>
              <w:spacing w:line="480" w:lineRule="exact"/>
              <w:rPr>
                <w:rFonts w:ascii="仿宋" w:hAnsi="仿宋" w:eastAsia="仿宋"/>
                <w:b/>
                <w:bCs/>
                <w:sz w:val="28"/>
              </w:rPr>
            </w:pPr>
            <w:r>
              <w:rPr>
                <w:rFonts w:hint="eastAsia" w:ascii="仿宋" w:hAnsi="仿宋" w:eastAsia="仿宋"/>
                <w:b/>
                <w:bCs/>
                <w:sz w:val="28"/>
                <w:szCs w:val="22"/>
              </w:rPr>
              <w:t xml:space="preserve">开户银行： </w:t>
            </w:r>
          </w:p>
        </w:tc>
      </w:tr>
      <w:tr>
        <w:tblPrEx>
          <w:tblLayout w:type="fixed"/>
          <w:tblCellMar>
            <w:top w:w="0" w:type="dxa"/>
            <w:left w:w="108" w:type="dxa"/>
            <w:bottom w:w="0" w:type="dxa"/>
            <w:right w:w="108" w:type="dxa"/>
          </w:tblCellMar>
        </w:tblPrEx>
        <w:trPr>
          <w:cantSplit/>
          <w:trHeight w:val="562" w:hRule="atLeast"/>
          <w:jc w:val="center"/>
        </w:trPr>
        <w:tc>
          <w:tcPr>
            <w:tcW w:w="7923" w:type="dxa"/>
            <w:vAlign w:val="center"/>
          </w:tcPr>
          <w:p>
            <w:pPr>
              <w:snapToGrid w:val="0"/>
              <w:spacing w:line="480" w:lineRule="exact"/>
              <w:rPr>
                <w:rFonts w:hint="default" w:ascii="仿宋" w:hAnsi="仿宋" w:eastAsia="仿宋"/>
                <w:b/>
                <w:bCs/>
                <w:sz w:val="28"/>
                <w:szCs w:val="22"/>
                <w:lang w:val="en-US" w:eastAsia="zh-CN"/>
              </w:rPr>
            </w:pPr>
            <w:r>
              <w:rPr>
                <w:rFonts w:hint="eastAsia" w:ascii="仿宋" w:hAnsi="仿宋" w:eastAsia="仿宋"/>
                <w:b/>
                <w:bCs/>
                <w:sz w:val="28"/>
                <w:szCs w:val="22"/>
                <w:lang w:val="en-US" w:eastAsia="zh-CN"/>
              </w:rPr>
              <w:t>开户支行：</w:t>
            </w:r>
          </w:p>
        </w:tc>
      </w:tr>
      <w:tr>
        <w:tblPrEx>
          <w:tblLayout w:type="fixed"/>
          <w:tblCellMar>
            <w:top w:w="0" w:type="dxa"/>
            <w:left w:w="108" w:type="dxa"/>
            <w:bottom w:w="0" w:type="dxa"/>
            <w:right w:w="108" w:type="dxa"/>
          </w:tblCellMar>
        </w:tblPrEx>
        <w:trPr>
          <w:cantSplit/>
          <w:trHeight w:val="562" w:hRule="atLeast"/>
          <w:jc w:val="center"/>
        </w:trPr>
        <w:tc>
          <w:tcPr>
            <w:tcW w:w="7923" w:type="dxa"/>
            <w:vAlign w:val="center"/>
          </w:tcPr>
          <w:p>
            <w:pPr>
              <w:snapToGrid w:val="0"/>
              <w:spacing w:line="480" w:lineRule="exact"/>
              <w:rPr>
                <w:rFonts w:ascii="仿宋" w:hAnsi="仿宋" w:eastAsia="仿宋"/>
                <w:b/>
                <w:bCs/>
                <w:sz w:val="28"/>
              </w:rPr>
            </w:pPr>
            <w:r>
              <w:rPr>
                <w:rFonts w:hint="eastAsia" w:ascii="仿宋" w:hAnsi="仿宋" w:eastAsia="仿宋"/>
                <w:b/>
                <w:bCs/>
                <w:sz w:val="28"/>
                <w:szCs w:val="22"/>
              </w:rPr>
              <w:t>账号：</w:t>
            </w:r>
          </w:p>
        </w:tc>
      </w:tr>
    </w:tbl>
    <w:p>
      <w:pPr>
        <w:spacing w:line="480" w:lineRule="exact"/>
        <w:rPr>
          <w:rFonts w:ascii="仿宋_GB2312" w:hAns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6350434"/>
    </w:sdtPr>
    <w:sdtContent>
      <w:p>
        <w:pPr>
          <w:pStyle w:val="20"/>
          <w:jc w:val="center"/>
        </w:pPr>
        <w:r>
          <w:fldChar w:fldCharType="begin"/>
        </w:r>
        <w:r>
          <w:instrText xml:space="preserve">PAGE   \* MERGEFORMAT</w:instrText>
        </w:r>
        <w:r>
          <w:fldChar w:fldCharType="separate"/>
        </w:r>
        <w:r>
          <w:rPr>
            <w:lang w:val="zh-CN"/>
          </w:rPr>
          <w:t>15</w:t>
        </w:r>
        <w: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sz w:val="18"/>
        <w:szCs w:val="18"/>
      </w:rPr>
    </w:pPr>
    <w:r>
      <w:rPr>
        <w:rFonts w:hint="eastAsia"/>
        <w:sz w:val="18"/>
        <w:szCs w:val="18"/>
      </w:rPr>
      <w:t>XXX</w:t>
    </w:r>
    <w:r>
      <w:rPr>
        <w:rFonts w:hint="eastAsia"/>
        <w:sz w:val="18"/>
        <w:szCs w:val="18"/>
        <w:lang w:val="en-US" w:eastAsia="zh-CN"/>
      </w:rPr>
      <w:t>虚拟电厂运营商</w:t>
    </w:r>
    <w:r>
      <w:rPr>
        <w:rFonts w:hint="eastAsia"/>
        <w:sz w:val="18"/>
        <w:szCs w:val="18"/>
      </w:rPr>
      <w:t>参与深圳市虚拟电厂精准响应承诺书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08D58F"/>
    <w:multiLevelType w:val="multilevel"/>
    <w:tmpl w:val="B908D58F"/>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78415D46"/>
    <w:multiLevelType w:val="multilevel"/>
    <w:tmpl w:val="78415D46"/>
    <w:lvl w:ilvl="0" w:tentative="0">
      <w:start w:val="1"/>
      <w:numFmt w:val="chineseCounting"/>
      <w:suff w:val="nothing"/>
      <w:lvlText w:val="第%1章 "/>
      <w:lvlJc w:val="left"/>
      <w:pPr>
        <w:ind w:left="432" w:hanging="432"/>
      </w:pPr>
      <w:rPr>
        <w:rFonts w:hint="eastAsia"/>
      </w:rPr>
    </w:lvl>
    <w:lvl w:ilvl="1" w:tentative="0">
      <w:start w:val="1"/>
      <w:numFmt w:val="decimal"/>
      <w:pStyle w:val="5"/>
      <w:isLgl/>
      <w:lvlText w:val="%1.%2."/>
      <w:lvlJc w:val="left"/>
      <w:pPr>
        <w:ind w:left="575" w:hanging="575"/>
      </w:pPr>
      <w:rPr>
        <w:rFonts w:hint="eastAsia"/>
      </w:rPr>
    </w:lvl>
    <w:lvl w:ilvl="2" w:tentative="0">
      <w:start w:val="1"/>
      <w:numFmt w:val="decimal"/>
      <w:pStyle w:val="6"/>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4"/>
    <w:rsid w:val="000050A1"/>
    <w:rsid w:val="00027F0C"/>
    <w:rsid w:val="000347D2"/>
    <w:rsid w:val="000376E0"/>
    <w:rsid w:val="000901A5"/>
    <w:rsid w:val="0009446D"/>
    <w:rsid w:val="000A3533"/>
    <w:rsid w:val="000A6809"/>
    <w:rsid w:val="000B424F"/>
    <w:rsid w:val="000B477E"/>
    <w:rsid w:val="000B743B"/>
    <w:rsid w:val="000E5165"/>
    <w:rsid w:val="000E5952"/>
    <w:rsid w:val="0010334E"/>
    <w:rsid w:val="0010518D"/>
    <w:rsid w:val="00105DE2"/>
    <w:rsid w:val="001268B0"/>
    <w:rsid w:val="001322B1"/>
    <w:rsid w:val="00133998"/>
    <w:rsid w:val="00140A8E"/>
    <w:rsid w:val="001432B1"/>
    <w:rsid w:val="00143A3B"/>
    <w:rsid w:val="00143C82"/>
    <w:rsid w:val="001477B2"/>
    <w:rsid w:val="00154637"/>
    <w:rsid w:val="001661B5"/>
    <w:rsid w:val="00172A27"/>
    <w:rsid w:val="00174EE7"/>
    <w:rsid w:val="0017544E"/>
    <w:rsid w:val="001A4BB8"/>
    <w:rsid w:val="001C7E89"/>
    <w:rsid w:val="001D1A25"/>
    <w:rsid w:val="001E11A6"/>
    <w:rsid w:val="001E2FCC"/>
    <w:rsid w:val="001E409A"/>
    <w:rsid w:val="001F2762"/>
    <w:rsid w:val="00200786"/>
    <w:rsid w:val="00203CAF"/>
    <w:rsid w:val="0020616B"/>
    <w:rsid w:val="00216045"/>
    <w:rsid w:val="00230EA9"/>
    <w:rsid w:val="002331A5"/>
    <w:rsid w:val="002511EC"/>
    <w:rsid w:val="00270B23"/>
    <w:rsid w:val="00270EDD"/>
    <w:rsid w:val="002776F7"/>
    <w:rsid w:val="00283132"/>
    <w:rsid w:val="00290186"/>
    <w:rsid w:val="002920CB"/>
    <w:rsid w:val="00295AB4"/>
    <w:rsid w:val="002C0DCA"/>
    <w:rsid w:val="002C1AE9"/>
    <w:rsid w:val="002C735C"/>
    <w:rsid w:val="002D1227"/>
    <w:rsid w:val="002E3A2E"/>
    <w:rsid w:val="002F4F6D"/>
    <w:rsid w:val="00317FE3"/>
    <w:rsid w:val="003317E1"/>
    <w:rsid w:val="003325EA"/>
    <w:rsid w:val="00346A6A"/>
    <w:rsid w:val="00355440"/>
    <w:rsid w:val="00392FE9"/>
    <w:rsid w:val="003A0916"/>
    <w:rsid w:val="003B32EA"/>
    <w:rsid w:val="003D10E4"/>
    <w:rsid w:val="003E1348"/>
    <w:rsid w:val="004206C8"/>
    <w:rsid w:val="004274CF"/>
    <w:rsid w:val="004407B1"/>
    <w:rsid w:val="00450F0C"/>
    <w:rsid w:val="00485B66"/>
    <w:rsid w:val="00490109"/>
    <w:rsid w:val="004907B7"/>
    <w:rsid w:val="00492DC0"/>
    <w:rsid w:val="004963C8"/>
    <w:rsid w:val="004A6EDF"/>
    <w:rsid w:val="004B00D5"/>
    <w:rsid w:val="004D1925"/>
    <w:rsid w:val="004E6541"/>
    <w:rsid w:val="004E79F8"/>
    <w:rsid w:val="00511C05"/>
    <w:rsid w:val="0051554B"/>
    <w:rsid w:val="00515C7C"/>
    <w:rsid w:val="005221D0"/>
    <w:rsid w:val="0052364C"/>
    <w:rsid w:val="005245D5"/>
    <w:rsid w:val="00553E14"/>
    <w:rsid w:val="005570AF"/>
    <w:rsid w:val="005A6B1C"/>
    <w:rsid w:val="005B3492"/>
    <w:rsid w:val="005C647B"/>
    <w:rsid w:val="005D29CF"/>
    <w:rsid w:val="005D40A3"/>
    <w:rsid w:val="005D7EE4"/>
    <w:rsid w:val="005F580A"/>
    <w:rsid w:val="005F7A52"/>
    <w:rsid w:val="00604363"/>
    <w:rsid w:val="006176BB"/>
    <w:rsid w:val="00621AE9"/>
    <w:rsid w:val="0062388A"/>
    <w:rsid w:val="00627072"/>
    <w:rsid w:val="0063382F"/>
    <w:rsid w:val="0064290E"/>
    <w:rsid w:val="00642A67"/>
    <w:rsid w:val="0064578C"/>
    <w:rsid w:val="006479F8"/>
    <w:rsid w:val="00662E6A"/>
    <w:rsid w:val="00673912"/>
    <w:rsid w:val="0068798A"/>
    <w:rsid w:val="00687A60"/>
    <w:rsid w:val="006946AE"/>
    <w:rsid w:val="006A2EBC"/>
    <w:rsid w:val="006B703D"/>
    <w:rsid w:val="006D5416"/>
    <w:rsid w:val="006D60BC"/>
    <w:rsid w:val="006D6B31"/>
    <w:rsid w:val="006F65C2"/>
    <w:rsid w:val="0070245E"/>
    <w:rsid w:val="00706FA5"/>
    <w:rsid w:val="00711F33"/>
    <w:rsid w:val="00715EB8"/>
    <w:rsid w:val="00732A00"/>
    <w:rsid w:val="00734210"/>
    <w:rsid w:val="00737192"/>
    <w:rsid w:val="00747BEE"/>
    <w:rsid w:val="00782540"/>
    <w:rsid w:val="00797994"/>
    <w:rsid w:val="007D0294"/>
    <w:rsid w:val="007D02C4"/>
    <w:rsid w:val="007F1382"/>
    <w:rsid w:val="00807170"/>
    <w:rsid w:val="0082401F"/>
    <w:rsid w:val="00826CD9"/>
    <w:rsid w:val="0088518C"/>
    <w:rsid w:val="008959DA"/>
    <w:rsid w:val="008C7C6D"/>
    <w:rsid w:val="008D3F95"/>
    <w:rsid w:val="008D6CF1"/>
    <w:rsid w:val="008E2313"/>
    <w:rsid w:val="008F0BD2"/>
    <w:rsid w:val="00913748"/>
    <w:rsid w:val="00920DCB"/>
    <w:rsid w:val="009230A0"/>
    <w:rsid w:val="00924EC7"/>
    <w:rsid w:val="0093201C"/>
    <w:rsid w:val="009409FF"/>
    <w:rsid w:val="00951775"/>
    <w:rsid w:val="00960639"/>
    <w:rsid w:val="009631CA"/>
    <w:rsid w:val="00972C6C"/>
    <w:rsid w:val="00984600"/>
    <w:rsid w:val="00997DB0"/>
    <w:rsid w:val="009B18EA"/>
    <w:rsid w:val="009B1F01"/>
    <w:rsid w:val="009B577B"/>
    <w:rsid w:val="009C04AA"/>
    <w:rsid w:val="009E668C"/>
    <w:rsid w:val="00A029CD"/>
    <w:rsid w:val="00A32013"/>
    <w:rsid w:val="00A43732"/>
    <w:rsid w:val="00A47D61"/>
    <w:rsid w:val="00A60655"/>
    <w:rsid w:val="00A61529"/>
    <w:rsid w:val="00A7718B"/>
    <w:rsid w:val="00A83F01"/>
    <w:rsid w:val="00A85C18"/>
    <w:rsid w:val="00AA2F5D"/>
    <w:rsid w:val="00AC23B3"/>
    <w:rsid w:val="00AC2D78"/>
    <w:rsid w:val="00AC78A2"/>
    <w:rsid w:val="00AE47FF"/>
    <w:rsid w:val="00AF1506"/>
    <w:rsid w:val="00B00E30"/>
    <w:rsid w:val="00B041BD"/>
    <w:rsid w:val="00B15EAC"/>
    <w:rsid w:val="00B31119"/>
    <w:rsid w:val="00B319F9"/>
    <w:rsid w:val="00B34E9B"/>
    <w:rsid w:val="00B373F1"/>
    <w:rsid w:val="00B4236F"/>
    <w:rsid w:val="00B44670"/>
    <w:rsid w:val="00B53906"/>
    <w:rsid w:val="00B55C73"/>
    <w:rsid w:val="00B75A01"/>
    <w:rsid w:val="00B80524"/>
    <w:rsid w:val="00B834E4"/>
    <w:rsid w:val="00BD10B9"/>
    <w:rsid w:val="00BD2686"/>
    <w:rsid w:val="00BD2C32"/>
    <w:rsid w:val="00BF4120"/>
    <w:rsid w:val="00BF6571"/>
    <w:rsid w:val="00C066AB"/>
    <w:rsid w:val="00C1424F"/>
    <w:rsid w:val="00C14384"/>
    <w:rsid w:val="00C21396"/>
    <w:rsid w:val="00C233FA"/>
    <w:rsid w:val="00C2663B"/>
    <w:rsid w:val="00C273C9"/>
    <w:rsid w:val="00C3353B"/>
    <w:rsid w:val="00C54235"/>
    <w:rsid w:val="00C62616"/>
    <w:rsid w:val="00C652D8"/>
    <w:rsid w:val="00C6665F"/>
    <w:rsid w:val="00C67403"/>
    <w:rsid w:val="00C752AD"/>
    <w:rsid w:val="00C8700C"/>
    <w:rsid w:val="00C90FD4"/>
    <w:rsid w:val="00C91C98"/>
    <w:rsid w:val="00C957CA"/>
    <w:rsid w:val="00CA25D8"/>
    <w:rsid w:val="00CB61AA"/>
    <w:rsid w:val="00CC7FEF"/>
    <w:rsid w:val="00CF384B"/>
    <w:rsid w:val="00CF7262"/>
    <w:rsid w:val="00D01278"/>
    <w:rsid w:val="00D12225"/>
    <w:rsid w:val="00D358B2"/>
    <w:rsid w:val="00D644C1"/>
    <w:rsid w:val="00D67A07"/>
    <w:rsid w:val="00D938D6"/>
    <w:rsid w:val="00D97553"/>
    <w:rsid w:val="00DA00F3"/>
    <w:rsid w:val="00DA27E2"/>
    <w:rsid w:val="00DA37CD"/>
    <w:rsid w:val="00DC0801"/>
    <w:rsid w:val="00DD1C1D"/>
    <w:rsid w:val="00DD3C74"/>
    <w:rsid w:val="00E01DCC"/>
    <w:rsid w:val="00E04E2E"/>
    <w:rsid w:val="00E13439"/>
    <w:rsid w:val="00E13563"/>
    <w:rsid w:val="00E13AD5"/>
    <w:rsid w:val="00E16FA3"/>
    <w:rsid w:val="00E362B2"/>
    <w:rsid w:val="00E471BA"/>
    <w:rsid w:val="00E53F7B"/>
    <w:rsid w:val="00E7224A"/>
    <w:rsid w:val="00E76B2B"/>
    <w:rsid w:val="00E76D7E"/>
    <w:rsid w:val="00E80B9D"/>
    <w:rsid w:val="00E83038"/>
    <w:rsid w:val="00E94B6C"/>
    <w:rsid w:val="00EA0960"/>
    <w:rsid w:val="00EB1BA6"/>
    <w:rsid w:val="00EC76A7"/>
    <w:rsid w:val="00EC781B"/>
    <w:rsid w:val="00EE6E6E"/>
    <w:rsid w:val="00F12DB1"/>
    <w:rsid w:val="00F23921"/>
    <w:rsid w:val="00F304EF"/>
    <w:rsid w:val="00F40C69"/>
    <w:rsid w:val="00F4115D"/>
    <w:rsid w:val="00F43183"/>
    <w:rsid w:val="00F729FA"/>
    <w:rsid w:val="00F84F63"/>
    <w:rsid w:val="00FA0FE4"/>
    <w:rsid w:val="00FD5150"/>
    <w:rsid w:val="00FD61E8"/>
    <w:rsid w:val="00FE3502"/>
    <w:rsid w:val="01126F3D"/>
    <w:rsid w:val="022656A0"/>
    <w:rsid w:val="0294290A"/>
    <w:rsid w:val="02BC1AB4"/>
    <w:rsid w:val="03CA131E"/>
    <w:rsid w:val="04367644"/>
    <w:rsid w:val="04390EE3"/>
    <w:rsid w:val="05B66C8F"/>
    <w:rsid w:val="05C25634"/>
    <w:rsid w:val="063B2C83"/>
    <w:rsid w:val="06BD3A53"/>
    <w:rsid w:val="07F809CD"/>
    <w:rsid w:val="08520F1D"/>
    <w:rsid w:val="091A1F68"/>
    <w:rsid w:val="093D6A65"/>
    <w:rsid w:val="09886609"/>
    <w:rsid w:val="09FE626F"/>
    <w:rsid w:val="0A6D63E6"/>
    <w:rsid w:val="0A8530D4"/>
    <w:rsid w:val="0A960E3D"/>
    <w:rsid w:val="0B123190"/>
    <w:rsid w:val="0B1F3EA8"/>
    <w:rsid w:val="0B282D96"/>
    <w:rsid w:val="0B6727D9"/>
    <w:rsid w:val="0BC4443F"/>
    <w:rsid w:val="0C9C20F3"/>
    <w:rsid w:val="0D9E7015"/>
    <w:rsid w:val="0DB74E46"/>
    <w:rsid w:val="0E0708B9"/>
    <w:rsid w:val="0E166FCE"/>
    <w:rsid w:val="0E1D79F3"/>
    <w:rsid w:val="0E2D2C34"/>
    <w:rsid w:val="0F6D4E44"/>
    <w:rsid w:val="0FC04947"/>
    <w:rsid w:val="10231414"/>
    <w:rsid w:val="105E4880"/>
    <w:rsid w:val="117A036B"/>
    <w:rsid w:val="117E3ECD"/>
    <w:rsid w:val="11A13850"/>
    <w:rsid w:val="11BE378D"/>
    <w:rsid w:val="12654B1F"/>
    <w:rsid w:val="12F7652F"/>
    <w:rsid w:val="13662D6B"/>
    <w:rsid w:val="13780B86"/>
    <w:rsid w:val="13C46A1B"/>
    <w:rsid w:val="14186D67"/>
    <w:rsid w:val="144314DB"/>
    <w:rsid w:val="147B7751"/>
    <w:rsid w:val="14CE55CC"/>
    <w:rsid w:val="14D47131"/>
    <w:rsid w:val="14FA66F7"/>
    <w:rsid w:val="151F3CDE"/>
    <w:rsid w:val="15FC024B"/>
    <w:rsid w:val="1616698A"/>
    <w:rsid w:val="164A5C90"/>
    <w:rsid w:val="16F5302B"/>
    <w:rsid w:val="174028C9"/>
    <w:rsid w:val="17491613"/>
    <w:rsid w:val="17942520"/>
    <w:rsid w:val="184C405A"/>
    <w:rsid w:val="18D205AB"/>
    <w:rsid w:val="18D426C3"/>
    <w:rsid w:val="19721BF5"/>
    <w:rsid w:val="197B7B7C"/>
    <w:rsid w:val="19AD57F5"/>
    <w:rsid w:val="1A37709D"/>
    <w:rsid w:val="1A4E18EC"/>
    <w:rsid w:val="1AB136EC"/>
    <w:rsid w:val="1AC51E8F"/>
    <w:rsid w:val="1AFC4CEC"/>
    <w:rsid w:val="1B252495"/>
    <w:rsid w:val="1B373B51"/>
    <w:rsid w:val="1B9B3776"/>
    <w:rsid w:val="1BB556D1"/>
    <w:rsid w:val="1BDF39B5"/>
    <w:rsid w:val="1C0876C1"/>
    <w:rsid w:val="1F1C44F9"/>
    <w:rsid w:val="1F382B46"/>
    <w:rsid w:val="1F403C04"/>
    <w:rsid w:val="1F604ACD"/>
    <w:rsid w:val="1FE356EC"/>
    <w:rsid w:val="1FF21071"/>
    <w:rsid w:val="2076569D"/>
    <w:rsid w:val="20E548D1"/>
    <w:rsid w:val="21294361"/>
    <w:rsid w:val="217B030D"/>
    <w:rsid w:val="21C805BE"/>
    <w:rsid w:val="2204073E"/>
    <w:rsid w:val="226A1085"/>
    <w:rsid w:val="232C02A5"/>
    <w:rsid w:val="249636AC"/>
    <w:rsid w:val="24B108F5"/>
    <w:rsid w:val="24EA41FC"/>
    <w:rsid w:val="25901B1C"/>
    <w:rsid w:val="259C5A2B"/>
    <w:rsid w:val="260D435E"/>
    <w:rsid w:val="2625613D"/>
    <w:rsid w:val="264F2FED"/>
    <w:rsid w:val="26566BBF"/>
    <w:rsid w:val="27B92596"/>
    <w:rsid w:val="280255D6"/>
    <w:rsid w:val="286C5085"/>
    <w:rsid w:val="29931F6D"/>
    <w:rsid w:val="29CD35CC"/>
    <w:rsid w:val="2A9F5B87"/>
    <w:rsid w:val="2B1053FE"/>
    <w:rsid w:val="2B656E9C"/>
    <w:rsid w:val="2B800C2D"/>
    <w:rsid w:val="2BC5112A"/>
    <w:rsid w:val="2C000778"/>
    <w:rsid w:val="2C315508"/>
    <w:rsid w:val="2C714CAE"/>
    <w:rsid w:val="2C763D94"/>
    <w:rsid w:val="2CB02841"/>
    <w:rsid w:val="2D5034E4"/>
    <w:rsid w:val="2DC13DBD"/>
    <w:rsid w:val="2E391ABB"/>
    <w:rsid w:val="2E6C3ADF"/>
    <w:rsid w:val="2EBA7929"/>
    <w:rsid w:val="2EE67E99"/>
    <w:rsid w:val="2F4C7ADC"/>
    <w:rsid w:val="2F817629"/>
    <w:rsid w:val="2F872CB4"/>
    <w:rsid w:val="2F946375"/>
    <w:rsid w:val="2FBC4D4D"/>
    <w:rsid w:val="2FD755B9"/>
    <w:rsid w:val="30053A07"/>
    <w:rsid w:val="301A214A"/>
    <w:rsid w:val="30E951D9"/>
    <w:rsid w:val="31BE28F2"/>
    <w:rsid w:val="31C17D1C"/>
    <w:rsid w:val="320F053F"/>
    <w:rsid w:val="323C62EA"/>
    <w:rsid w:val="325F1DFA"/>
    <w:rsid w:val="32D11062"/>
    <w:rsid w:val="3308275B"/>
    <w:rsid w:val="331B0A85"/>
    <w:rsid w:val="33B06EF6"/>
    <w:rsid w:val="34A653F2"/>
    <w:rsid w:val="34C93A39"/>
    <w:rsid w:val="34EF55F9"/>
    <w:rsid w:val="358A33F1"/>
    <w:rsid w:val="35A246FB"/>
    <w:rsid w:val="35FE0243"/>
    <w:rsid w:val="36283699"/>
    <w:rsid w:val="36D272BD"/>
    <w:rsid w:val="37811658"/>
    <w:rsid w:val="37A34D76"/>
    <w:rsid w:val="37D9285F"/>
    <w:rsid w:val="38AA4E94"/>
    <w:rsid w:val="38B642D4"/>
    <w:rsid w:val="38C420A7"/>
    <w:rsid w:val="39696FD5"/>
    <w:rsid w:val="3A255A5D"/>
    <w:rsid w:val="3AFC4D75"/>
    <w:rsid w:val="3B4A0741"/>
    <w:rsid w:val="3B4A51A8"/>
    <w:rsid w:val="3B8E5B0B"/>
    <w:rsid w:val="3B9652C2"/>
    <w:rsid w:val="3BA92384"/>
    <w:rsid w:val="3C234802"/>
    <w:rsid w:val="3CF72B3E"/>
    <w:rsid w:val="3DBD2523"/>
    <w:rsid w:val="3EAA2BF8"/>
    <w:rsid w:val="3FD91653"/>
    <w:rsid w:val="40122037"/>
    <w:rsid w:val="40555A03"/>
    <w:rsid w:val="40E12723"/>
    <w:rsid w:val="41045F50"/>
    <w:rsid w:val="41583C5F"/>
    <w:rsid w:val="42682577"/>
    <w:rsid w:val="42F322D8"/>
    <w:rsid w:val="431E31A2"/>
    <w:rsid w:val="432F7E31"/>
    <w:rsid w:val="434F15AD"/>
    <w:rsid w:val="43CA3632"/>
    <w:rsid w:val="44671209"/>
    <w:rsid w:val="44B04868"/>
    <w:rsid w:val="44D34756"/>
    <w:rsid w:val="44D42A6C"/>
    <w:rsid w:val="44EC00A1"/>
    <w:rsid w:val="456332AA"/>
    <w:rsid w:val="457747B5"/>
    <w:rsid w:val="4583107F"/>
    <w:rsid w:val="45EC6ED5"/>
    <w:rsid w:val="476B4E24"/>
    <w:rsid w:val="476E0627"/>
    <w:rsid w:val="4783342E"/>
    <w:rsid w:val="47DC5461"/>
    <w:rsid w:val="48090670"/>
    <w:rsid w:val="484F48C0"/>
    <w:rsid w:val="48A65FAA"/>
    <w:rsid w:val="49F50FE2"/>
    <w:rsid w:val="4B612FEE"/>
    <w:rsid w:val="4BF2341E"/>
    <w:rsid w:val="4C143FB7"/>
    <w:rsid w:val="4C620344"/>
    <w:rsid w:val="4C756DB4"/>
    <w:rsid w:val="4C97665E"/>
    <w:rsid w:val="4C9B782E"/>
    <w:rsid w:val="4CAD4C3B"/>
    <w:rsid w:val="4CE54279"/>
    <w:rsid w:val="4D3654A3"/>
    <w:rsid w:val="4DA621B7"/>
    <w:rsid w:val="4DD958E6"/>
    <w:rsid w:val="4EA16178"/>
    <w:rsid w:val="4EB57700"/>
    <w:rsid w:val="4F265646"/>
    <w:rsid w:val="4F381A8F"/>
    <w:rsid w:val="4F640757"/>
    <w:rsid w:val="4FA47125"/>
    <w:rsid w:val="50452468"/>
    <w:rsid w:val="50E83F5F"/>
    <w:rsid w:val="511C1568"/>
    <w:rsid w:val="51606F67"/>
    <w:rsid w:val="51D27E32"/>
    <w:rsid w:val="52141869"/>
    <w:rsid w:val="52646F4F"/>
    <w:rsid w:val="52AE3084"/>
    <w:rsid w:val="52E8417F"/>
    <w:rsid w:val="53A25F97"/>
    <w:rsid w:val="53B57AA0"/>
    <w:rsid w:val="53BB19B4"/>
    <w:rsid w:val="544A337C"/>
    <w:rsid w:val="54EB73CD"/>
    <w:rsid w:val="55410DBD"/>
    <w:rsid w:val="55CA619E"/>
    <w:rsid w:val="563D5CBB"/>
    <w:rsid w:val="56B4190C"/>
    <w:rsid w:val="56D2272A"/>
    <w:rsid w:val="5737553B"/>
    <w:rsid w:val="574179F3"/>
    <w:rsid w:val="58436827"/>
    <w:rsid w:val="588903F6"/>
    <w:rsid w:val="58B02697"/>
    <w:rsid w:val="5905498C"/>
    <w:rsid w:val="590D0D15"/>
    <w:rsid w:val="598D5FFA"/>
    <w:rsid w:val="59C07F16"/>
    <w:rsid w:val="59C40D3C"/>
    <w:rsid w:val="59CC6A8E"/>
    <w:rsid w:val="59DE4FE1"/>
    <w:rsid w:val="5ADC3C17"/>
    <w:rsid w:val="5B0C1E1C"/>
    <w:rsid w:val="5B110087"/>
    <w:rsid w:val="5B1A5DEE"/>
    <w:rsid w:val="5B7E7875"/>
    <w:rsid w:val="5B8B762C"/>
    <w:rsid w:val="5C041F12"/>
    <w:rsid w:val="5C2313D1"/>
    <w:rsid w:val="5C462524"/>
    <w:rsid w:val="5C4F4919"/>
    <w:rsid w:val="5C8D0E2D"/>
    <w:rsid w:val="5CF6510D"/>
    <w:rsid w:val="5D371337"/>
    <w:rsid w:val="5EA864DA"/>
    <w:rsid w:val="5EB929CE"/>
    <w:rsid w:val="5F51725F"/>
    <w:rsid w:val="5FDA4C60"/>
    <w:rsid w:val="5FDD350F"/>
    <w:rsid w:val="60636B31"/>
    <w:rsid w:val="60A42349"/>
    <w:rsid w:val="61046F5B"/>
    <w:rsid w:val="61511552"/>
    <w:rsid w:val="615B2B34"/>
    <w:rsid w:val="61947860"/>
    <w:rsid w:val="61A57FC5"/>
    <w:rsid w:val="61C64602"/>
    <w:rsid w:val="623B0593"/>
    <w:rsid w:val="62570266"/>
    <w:rsid w:val="62FF17DE"/>
    <w:rsid w:val="630E1E52"/>
    <w:rsid w:val="63452C99"/>
    <w:rsid w:val="6348211E"/>
    <w:rsid w:val="635F40AD"/>
    <w:rsid w:val="63696357"/>
    <w:rsid w:val="63C86B65"/>
    <w:rsid w:val="64B83C5F"/>
    <w:rsid w:val="65477B59"/>
    <w:rsid w:val="65A750DF"/>
    <w:rsid w:val="65EB1FF9"/>
    <w:rsid w:val="662355CB"/>
    <w:rsid w:val="667F490A"/>
    <w:rsid w:val="674F1BEB"/>
    <w:rsid w:val="67AC28B8"/>
    <w:rsid w:val="685C1EF3"/>
    <w:rsid w:val="68B302DD"/>
    <w:rsid w:val="68C4771B"/>
    <w:rsid w:val="68DC6026"/>
    <w:rsid w:val="69111024"/>
    <w:rsid w:val="69AC0C58"/>
    <w:rsid w:val="69B43173"/>
    <w:rsid w:val="6A003F6F"/>
    <w:rsid w:val="6A1C7B04"/>
    <w:rsid w:val="6B161FBD"/>
    <w:rsid w:val="6B5F3393"/>
    <w:rsid w:val="6B737C7F"/>
    <w:rsid w:val="6C0C6CE4"/>
    <w:rsid w:val="6C67593C"/>
    <w:rsid w:val="6CA9548B"/>
    <w:rsid w:val="6D18040F"/>
    <w:rsid w:val="6D3A657B"/>
    <w:rsid w:val="6DEA1D4F"/>
    <w:rsid w:val="6DF25A2F"/>
    <w:rsid w:val="6EDF387E"/>
    <w:rsid w:val="6EEE4B8C"/>
    <w:rsid w:val="6FEA4961"/>
    <w:rsid w:val="705B60D3"/>
    <w:rsid w:val="70CB40BA"/>
    <w:rsid w:val="710A39B3"/>
    <w:rsid w:val="717B7602"/>
    <w:rsid w:val="71B24B69"/>
    <w:rsid w:val="71DB4621"/>
    <w:rsid w:val="724C71EF"/>
    <w:rsid w:val="72B41771"/>
    <w:rsid w:val="73953233"/>
    <w:rsid w:val="744A31D1"/>
    <w:rsid w:val="74CC7FCC"/>
    <w:rsid w:val="759D0310"/>
    <w:rsid w:val="75B97076"/>
    <w:rsid w:val="75E01402"/>
    <w:rsid w:val="75FB3557"/>
    <w:rsid w:val="76592168"/>
    <w:rsid w:val="7668168D"/>
    <w:rsid w:val="76693267"/>
    <w:rsid w:val="767138B1"/>
    <w:rsid w:val="774A17E0"/>
    <w:rsid w:val="778E5E41"/>
    <w:rsid w:val="77EB7A4D"/>
    <w:rsid w:val="77F77A99"/>
    <w:rsid w:val="78175C2D"/>
    <w:rsid w:val="7840713B"/>
    <w:rsid w:val="7866012D"/>
    <w:rsid w:val="797307CE"/>
    <w:rsid w:val="79F17868"/>
    <w:rsid w:val="7A3C40D4"/>
    <w:rsid w:val="7AA570C2"/>
    <w:rsid w:val="7AE244DA"/>
    <w:rsid w:val="7BEE3352"/>
    <w:rsid w:val="7C531285"/>
    <w:rsid w:val="7D3A23FC"/>
    <w:rsid w:val="7DE43B89"/>
    <w:rsid w:val="7E0E392B"/>
    <w:rsid w:val="7E3B4A83"/>
    <w:rsid w:val="7EB2746C"/>
    <w:rsid w:val="7F23167B"/>
    <w:rsid w:val="7F882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32"/>
    <w:qFormat/>
    <w:uiPriority w:val="0"/>
    <w:pPr>
      <w:keepLines/>
      <w:numPr>
        <w:ilvl w:val="0"/>
        <w:numId w:val="1"/>
      </w:numPr>
      <w:spacing w:before="408" w:after="408" w:line="600" w:lineRule="exact"/>
      <w:outlineLvl w:val="0"/>
    </w:pPr>
    <w:rPr>
      <w:rFonts w:ascii="Times New Roman" w:hAnsi="Times New Roman"/>
      <w:b/>
      <w:kern w:val="44"/>
      <w:sz w:val="28"/>
      <w:szCs w:val="28"/>
    </w:rPr>
  </w:style>
  <w:style w:type="paragraph" w:styleId="5">
    <w:name w:val="heading 2"/>
    <w:basedOn w:val="1"/>
    <w:next w:val="1"/>
    <w:link w:val="39"/>
    <w:unhideWhenUsed/>
    <w:qFormat/>
    <w:uiPriority w:val="0"/>
    <w:pPr>
      <w:keepNext/>
      <w:keepLines/>
      <w:numPr>
        <w:ilvl w:val="1"/>
        <w:numId w:val="2"/>
      </w:numPr>
      <w:spacing w:before="260" w:after="260" w:line="413" w:lineRule="auto"/>
      <w:outlineLvl w:val="1"/>
    </w:pPr>
    <w:rPr>
      <w:rFonts w:ascii="仿宋" w:hAnsi="仿宋" w:eastAsia="黑体"/>
      <w:sz w:val="28"/>
    </w:rPr>
  </w:style>
  <w:style w:type="paragraph" w:styleId="6">
    <w:name w:val="heading 3"/>
    <w:basedOn w:val="1"/>
    <w:next w:val="1"/>
    <w:link w:val="36"/>
    <w:unhideWhenUsed/>
    <w:qFormat/>
    <w:uiPriority w:val="0"/>
    <w:pPr>
      <w:keepNext/>
      <w:keepLines/>
      <w:numPr>
        <w:ilvl w:val="2"/>
        <w:numId w:val="2"/>
      </w:numPr>
      <w:spacing w:before="260" w:after="260" w:line="413" w:lineRule="auto"/>
      <w:outlineLvl w:val="2"/>
    </w:pPr>
    <w:rPr>
      <w:rFonts w:ascii="华文仿宋" w:hAnsi="华文仿宋"/>
      <w:sz w:val="28"/>
    </w:rPr>
  </w:style>
  <w:style w:type="paragraph" w:styleId="7">
    <w:name w:val="heading 4"/>
    <w:basedOn w:val="1"/>
    <w:next w:val="1"/>
    <w:unhideWhenUsed/>
    <w:qFormat/>
    <w:uiPriority w:val="0"/>
    <w:pPr>
      <w:keepNext/>
      <w:keepLines/>
      <w:numPr>
        <w:ilvl w:val="3"/>
        <w:numId w:val="2"/>
      </w:numPr>
      <w:spacing w:before="280" w:after="290" w:line="372" w:lineRule="auto"/>
      <w:outlineLvl w:val="3"/>
    </w:pPr>
    <w:rPr>
      <w:rFonts w:ascii="Arial" w:hAnsi="Arial" w:eastAsia="黑体"/>
      <w:b/>
      <w:sz w:val="28"/>
    </w:rPr>
  </w:style>
  <w:style w:type="paragraph" w:styleId="8">
    <w:name w:val="heading 5"/>
    <w:basedOn w:val="1"/>
    <w:next w:val="1"/>
    <w:unhideWhenUsed/>
    <w:qFormat/>
    <w:uiPriority w:val="0"/>
    <w:pPr>
      <w:keepNext/>
      <w:keepLines/>
      <w:numPr>
        <w:ilvl w:val="4"/>
        <w:numId w:val="2"/>
      </w:numPr>
      <w:spacing w:before="280" w:after="290" w:line="372" w:lineRule="auto"/>
      <w:outlineLvl w:val="4"/>
    </w:pPr>
    <w:rPr>
      <w:b/>
      <w:sz w:val="28"/>
    </w:rPr>
  </w:style>
  <w:style w:type="paragraph" w:styleId="9">
    <w:name w:val="heading 6"/>
    <w:basedOn w:val="1"/>
    <w:next w:val="1"/>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10">
    <w:name w:val="heading 7"/>
    <w:basedOn w:val="1"/>
    <w:next w:val="1"/>
    <w:unhideWhenUsed/>
    <w:qFormat/>
    <w:uiPriority w:val="0"/>
    <w:pPr>
      <w:keepNext/>
      <w:keepLines/>
      <w:numPr>
        <w:ilvl w:val="6"/>
        <w:numId w:val="2"/>
      </w:numPr>
      <w:spacing w:before="240" w:after="64" w:line="317" w:lineRule="auto"/>
      <w:outlineLvl w:val="6"/>
    </w:pPr>
    <w:rPr>
      <w:b/>
      <w:sz w:val="24"/>
    </w:rPr>
  </w:style>
  <w:style w:type="paragraph" w:styleId="11">
    <w:name w:val="heading 8"/>
    <w:basedOn w:val="1"/>
    <w:next w:val="1"/>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12">
    <w:name w:val="heading 9"/>
    <w:basedOn w:val="1"/>
    <w:next w:val="1"/>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3"/>
    <w:next w:val="3"/>
    <w:qFormat/>
    <w:uiPriority w:val="0"/>
    <w:pPr>
      <w:spacing w:after="120"/>
    </w:p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annotation text"/>
    <w:basedOn w:val="1"/>
    <w:link w:val="37"/>
    <w:qFormat/>
    <w:uiPriority w:val="0"/>
    <w:pPr>
      <w:jc w:val="left"/>
    </w:pPr>
  </w:style>
  <w:style w:type="paragraph" w:styleId="1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qFormat/>
    <w:uiPriority w:val="39"/>
    <w:pPr>
      <w:ind w:left="840" w:leftChars="400"/>
    </w:pPr>
  </w:style>
  <w:style w:type="paragraph" w:styleId="17">
    <w:name w:val="Plain Text"/>
    <w:basedOn w:val="1"/>
    <w:qFormat/>
    <w:uiPriority w:val="0"/>
    <w:pPr>
      <w:adjustRightInd w:val="0"/>
      <w:textAlignment w:val="baseline"/>
    </w:pPr>
    <w:rPr>
      <w:rFonts w:ascii="宋体" w:hAnsi="Courier New"/>
      <w:sz w:val="24"/>
    </w:r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Balloon Text"/>
    <w:basedOn w:val="1"/>
    <w:link w:val="34"/>
    <w:qFormat/>
    <w:uiPriority w:val="0"/>
    <w:rPr>
      <w:sz w:val="18"/>
      <w:szCs w:val="18"/>
    </w:rPr>
  </w:style>
  <w:style w:type="paragraph" w:styleId="20">
    <w:name w:val="footer"/>
    <w:basedOn w:val="1"/>
    <w:link w:val="40"/>
    <w:qFormat/>
    <w:uiPriority w:val="99"/>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296"/>
      </w:tabs>
    </w:pPr>
  </w:style>
  <w:style w:type="paragraph" w:styleId="23">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7">
    <w:name w:val="annotation subject"/>
    <w:basedOn w:val="14"/>
    <w:next w:val="14"/>
    <w:link w:val="42"/>
    <w:qFormat/>
    <w:uiPriority w:val="0"/>
    <w:rPr>
      <w:b/>
      <w:bCs/>
    </w:rPr>
  </w:style>
  <w:style w:type="character" w:styleId="30">
    <w:name w:val="Hyperlink"/>
    <w:qFormat/>
    <w:uiPriority w:val="99"/>
    <w:rPr>
      <w:color w:val="0000FF"/>
      <w:u w:val="single"/>
    </w:rPr>
  </w:style>
  <w:style w:type="character" w:styleId="31">
    <w:name w:val="annotation reference"/>
    <w:basedOn w:val="29"/>
    <w:qFormat/>
    <w:uiPriority w:val="0"/>
    <w:rPr>
      <w:sz w:val="21"/>
      <w:szCs w:val="21"/>
    </w:rPr>
  </w:style>
  <w:style w:type="character" w:customStyle="1" w:styleId="32">
    <w:name w:val="标题 1 字符"/>
    <w:link w:val="4"/>
    <w:qFormat/>
    <w:uiPriority w:val="0"/>
    <w:rPr>
      <w:rFonts w:ascii="Times New Roman" w:hAnsi="Times New Roman"/>
      <w:b/>
      <w:kern w:val="44"/>
      <w:sz w:val="28"/>
      <w:szCs w:val="28"/>
    </w:rPr>
  </w:style>
  <w:style w:type="character" w:customStyle="1" w:styleId="33">
    <w:name w:val="标题 1 Char"/>
    <w:qFormat/>
    <w:uiPriority w:val="0"/>
    <w:rPr>
      <w:b/>
      <w:kern w:val="44"/>
      <w:sz w:val="44"/>
    </w:rPr>
  </w:style>
  <w:style w:type="character" w:customStyle="1" w:styleId="34">
    <w:name w:val="批注框文本 字符"/>
    <w:basedOn w:val="29"/>
    <w:link w:val="19"/>
    <w:qFormat/>
    <w:uiPriority w:val="0"/>
    <w:rPr>
      <w:rFonts w:ascii="Calibri" w:hAnsi="Calibri"/>
      <w:kern w:val="2"/>
      <w:sz w:val="18"/>
      <w:szCs w:val="18"/>
    </w:rPr>
  </w:style>
  <w:style w:type="character" w:customStyle="1" w:styleId="35">
    <w:name w:val="未处理的提及1"/>
    <w:basedOn w:val="29"/>
    <w:unhideWhenUsed/>
    <w:qFormat/>
    <w:uiPriority w:val="99"/>
    <w:rPr>
      <w:color w:val="605E5C"/>
      <w:shd w:val="clear" w:color="auto" w:fill="E1DFDD"/>
    </w:rPr>
  </w:style>
  <w:style w:type="character" w:customStyle="1" w:styleId="36">
    <w:name w:val="标题 3 字符"/>
    <w:basedOn w:val="29"/>
    <w:link w:val="6"/>
    <w:qFormat/>
    <w:uiPriority w:val="0"/>
    <w:rPr>
      <w:rFonts w:ascii="华文仿宋" w:hAnsi="华文仿宋" w:eastAsia="宋体"/>
      <w:kern w:val="2"/>
      <w:sz w:val="28"/>
    </w:rPr>
  </w:style>
  <w:style w:type="character" w:customStyle="1" w:styleId="37">
    <w:name w:val="批注文字 字符"/>
    <w:basedOn w:val="29"/>
    <w:link w:val="14"/>
    <w:qFormat/>
    <w:uiPriority w:val="0"/>
    <w:rPr>
      <w:kern w:val="2"/>
      <w:sz w:val="21"/>
    </w:rPr>
  </w:style>
  <w:style w:type="paragraph" w:customStyle="1" w:styleId="38">
    <w:name w:val="列表段落1"/>
    <w:basedOn w:val="1"/>
    <w:qFormat/>
    <w:uiPriority w:val="99"/>
    <w:pPr>
      <w:ind w:firstLine="420" w:firstLineChars="200"/>
    </w:pPr>
  </w:style>
  <w:style w:type="character" w:customStyle="1" w:styleId="39">
    <w:name w:val="标题 2 字符"/>
    <w:basedOn w:val="29"/>
    <w:link w:val="5"/>
    <w:qFormat/>
    <w:uiPriority w:val="0"/>
    <w:rPr>
      <w:rFonts w:ascii="仿宋" w:hAnsi="仿宋" w:eastAsia="黑体"/>
      <w:kern w:val="2"/>
      <w:sz w:val="28"/>
    </w:rPr>
  </w:style>
  <w:style w:type="character" w:customStyle="1" w:styleId="40">
    <w:name w:val="页脚 字符"/>
    <w:basedOn w:val="29"/>
    <w:link w:val="20"/>
    <w:qFormat/>
    <w:uiPriority w:val="99"/>
    <w:rPr>
      <w:kern w:val="2"/>
      <w:sz w:val="18"/>
    </w:rPr>
  </w:style>
  <w:style w:type="paragraph" w:customStyle="1" w:styleId="41">
    <w:name w:val="WPSOffice手动目录 1"/>
    <w:qFormat/>
    <w:uiPriority w:val="0"/>
    <w:rPr>
      <w:rFonts w:ascii="Calibri" w:hAnsi="Calibri" w:eastAsia="宋体" w:cs="Times New Roman"/>
      <w:lang w:val="en-US" w:eastAsia="zh-CN" w:bidi="ar-SA"/>
    </w:rPr>
  </w:style>
  <w:style w:type="character" w:customStyle="1" w:styleId="42">
    <w:name w:val="批注主题 字符"/>
    <w:basedOn w:val="37"/>
    <w:link w:val="27"/>
    <w:qFormat/>
    <w:uiPriority w:val="0"/>
    <w:rPr>
      <w:b/>
      <w:bCs/>
      <w:kern w:val="2"/>
      <w:sz w:val="21"/>
    </w:rPr>
  </w:style>
  <w:style w:type="character" w:customStyle="1" w:styleId="43">
    <w:name w:val="fontstyle01"/>
    <w:basedOn w:val="29"/>
    <w:qFormat/>
    <w:uiPriority w:val="0"/>
    <w:rPr>
      <w:rFonts w:ascii="仿宋_GB2312" w:eastAsia="仿宋_GB2312" w:cs="仿宋_GB2312"/>
      <w:color w:val="000000"/>
      <w:sz w:val="32"/>
      <w:szCs w:val="32"/>
    </w:rPr>
  </w:style>
  <w:style w:type="character" w:customStyle="1" w:styleId="44">
    <w:name w:val="fontstyle11"/>
    <w:basedOn w:val="29"/>
    <w:qFormat/>
    <w:uiPriority w:val="0"/>
    <w:rPr>
      <w:rFonts w:ascii="黑体" w:hAnsi="宋体" w:eastAsia="黑体" w:cs="黑体"/>
      <w:color w:val="000000"/>
      <w:sz w:val="32"/>
      <w:szCs w:val="32"/>
    </w:rPr>
  </w:style>
  <w:style w:type="character" w:customStyle="1" w:styleId="45">
    <w:name w:val="fontstyle21"/>
    <w:basedOn w:val="29"/>
    <w:qFormat/>
    <w:uiPriority w:val="0"/>
    <w:rPr>
      <w:rFonts w:hint="default" w:ascii="Times New Roman" w:hAnsi="Times New Roman" w:cs="Times New Roman"/>
      <w:color w:val="000000"/>
      <w:sz w:val="32"/>
      <w:szCs w:val="32"/>
    </w:rPr>
  </w:style>
  <w:style w:type="paragraph" w:customStyle="1" w:styleId="46">
    <w:name w:val="修订1"/>
    <w:hidden/>
    <w:semiHidden/>
    <w:qFormat/>
    <w:uiPriority w:val="99"/>
    <w:rPr>
      <w:rFonts w:ascii="Calibri" w:hAnsi="Calibri" w:eastAsia="宋体" w:cs="Times New Roman"/>
      <w:kern w:val="2"/>
      <w:sz w:val="21"/>
      <w:lang w:val="en-US" w:eastAsia="zh-CN" w:bidi="ar-SA"/>
    </w:rPr>
  </w:style>
  <w:style w:type="paragraph" w:styleId="47">
    <w:name w:val="List Paragraph"/>
    <w:basedOn w:val="1"/>
    <w:qFormat/>
    <w:uiPriority w:val="99"/>
    <w:pPr>
      <w:ind w:firstLine="420" w:firstLineChars="200"/>
    </w:pPr>
  </w:style>
  <w:style w:type="character" w:customStyle="1" w:styleId="4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5A772-E24C-43A3-BC30-F1EEF533919C}">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Pages>
  <Words>1172</Words>
  <Characters>6685</Characters>
  <Lines>55</Lines>
  <Paragraphs>15</Paragraphs>
  <TotalTime>1</TotalTime>
  <ScaleCrop>false</ScaleCrop>
  <LinksUpToDate>false</LinksUpToDate>
  <CharactersWithSpaces>7842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2019-12-11T13:55:00Z</dcterms:created>
  <dc:creator>Shu</dc:creator>
  <cp:lastModifiedBy>王滔</cp:lastModifiedBy>
  <dcterms:modified xsi:type="dcterms:W3CDTF">2023-04-14T03:30:56Z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35369C72CFA042CFA611FD21C37B5B83</vt:lpwstr>
  </property>
</Properties>
</file>